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580"/>
        <w:tblW w:w="0" w:type="auto"/>
        <w:tblLook w:val="04A0" w:firstRow="1" w:lastRow="0" w:firstColumn="1" w:lastColumn="0" w:noHBand="0" w:noVBand="1"/>
      </w:tblPr>
      <w:tblGrid>
        <w:gridCol w:w="2798"/>
        <w:gridCol w:w="3268"/>
        <w:gridCol w:w="2952"/>
      </w:tblGrid>
      <w:tr w:rsidR="00516483" w:rsidRPr="005349FE" w14:paraId="5B531C51" w14:textId="77777777" w:rsidTr="005B7072">
        <w:trPr>
          <w:trHeight w:val="851"/>
        </w:trPr>
        <w:tc>
          <w:tcPr>
            <w:tcW w:w="2798" w:type="dxa"/>
          </w:tcPr>
          <w:p w14:paraId="4827FA3C" w14:textId="7F56087A" w:rsidR="00516483" w:rsidRDefault="00516483" w:rsidP="005B7072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wladda</w:t>
            </w:r>
            <w:proofErr w:type="spellEnd"/>
            <w:r>
              <w:rPr>
                <w:rFonts w:ascii="Garamond" w:hAnsi="Garamond"/>
                <w:b/>
              </w:rPr>
              <w:t xml:space="preserve"> Puntland </w:t>
            </w:r>
            <w:proofErr w:type="spellStart"/>
            <w:r>
              <w:rPr>
                <w:rFonts w:ascii="Garamond" w:hAnsi="Garamond"/>
                <w:b/>
              </w:rPr>
              <w:t>ee</w:t>
            </w:r>
            <w:proofErr w:type="spellEnd"/>
            <w:r>
              <w:rPr>
                <w:rFonts w:ascii="Garamond" w:hAnsi="Garamond"/>
                <w:b/>
              </w:rPr>
              <w:t xml:space="preserve"> </w:t>
            </w:r>
          </w:p>
          <w:p w14:paraId="40B7B2ED" w14:textId="77777777" w:rsidR="00516483" w:rsidRPr="005349FE" w:rsidRDefault="00516483" w:rsidP="005B7072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Soomaaliyeed</w:t>
            </w:r>
            <w:proofErr w:type="spellEnd"/>
          </w:p>
        </w:tc>
        <w:tc>
          <w:tcPr>
            <w:tcW w:w="3268" w:type="dxa"/>
          </w:tcPr>
          <w:p w14:paraId="625813D9" w14:textId="77777777" w:rsidR="00516483" w:rsidRPr="005349FE" w:rsidRDefault="00516483" w:rsidP="005B7072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Garamond" w:hAnsi="Garamond"/>
                <w:b/>
              </w:rPr>
            </w:pPr>
            <w:r w:rsidRPr="005349FE">
              <w:rPr>
                <w:rFonts w:ascii="Garamond" w:hAnsi="Garamond"/>
                <w:b/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023CFC38" wp14:editId="78A4B473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-184150</wp:posOffset>
                  </wp:positionV>
                  <wp:extent cx="1943100" cy="952500"/>
                  <wp:effectExtent l="0" t="0" r="0" b="0"/>
                  <wp:wrapNone/>
                  <wp:docPr id="11" name="Picture 2" descr="Description: Type_Option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Type_Option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FE5F4B" w14:textId="77777777" w:rsidR="00516483" w:rsidRPr="005349FE" w:rsidRDefault="00516483" w:rsidP="005B7072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Garamond" w:hAnsi="Garamond"/>
                <w:b/>
              </w:rPr>
            </w:pPr>
          </w:p>
          <w:p w14:paraId="249ABCEE" w14:textId="77777777" w:rsidR="00516483" w:rsidRPr="005349FE" w:rsidRDefault="00516483" w:rsidP="005B7072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952" w:type="dxa"/>
          </w:tcPr>
          <w:p w14:paraId="5F4EB387" w14:textId="77777777" w:rsidR="00516483" w:rsidRDefault="00516483" w:rsidP="005B7072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Puntland Government of</w:t>
            </w:r>
          </w:p>
          <w:p w14:paraId="694A1D4E" w14:textId="77777777" w:rsidR="00516483" w:rsidRPr="005349FE" w:rsidRDefault="00516483" w:rsidP="005B7072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Somalia</w:t>
            </w:r>
          </w:p>
        </w:tc>
      </w:tr>
    </w:tbl>
    <w:p w14:paraId="1E72273E" w14:textId="77777777" w:rsidR="00516483" w:rsidRDefault="00516483" w:rsidP="00516483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00" w:after="100"/>
        <w:jc w:val="center"/>
        <w:rPr>
          <w:rFonts w:ascii="Garamond" w:hAnsi="Garamond"/>
          <w:b/>
        </w:rPr>
      </w:pPr>
      <w:r w:rsidRPr="005349FE">
        <w:rPr>
          <w:rFonts w:ascii="Garamond" w:hAnsi="Garamond"/>
          <w:b/>
        </w:rPr>
        <w:t>Wasaaradda</w:t>
      </w:r>
      <w:r>
        <w:rPr>
          <w:rFonts w:ascii="Garamond" w:hAnsi="Garamond"/>
          <w:b/>
        </w:rPr>
        <w:t xml:space="preserve"> </w:t>
      </w:r>
      <w:r w:rsidRPr="005349FE">
        <w:rPr>
          <w:rFonts w:ascii="Garamond" w:hAnsi="Garamond"/>
          <w:b/>
        </w:rPr>
        <w:t>Horumarinta</w:t>
      </w:r>
      <w:r>
        <w:rPr>
          <w:rFonts w:ascii="Garamond" w:hAnsi="Garamond"/>
          <w:b/>
        </w:rPr>
        <w:t xml:space="preserve"> </w:t>
      </w:r>
      <w:r w:rsidRPr="005349FE">
        <w:rPr>
          <w:rFonts w:ascii="Garamond" w:hAnsi="Garamond"/>
          <w:b/>
        </w:rPr>
        <w:t>Haweenka</w:t>
      </w:r>
      <w:r>
        <w:rPr>
          <w:rFonts w:ascii="Garamond" w:hAnsi="Garamond"/>
          <w:b/>
        </w:rPr>
        <w:t xml:space="preserve"> </w:t>
      </w:r>
      <w:r w:rsidRPr="005349FE">
        <w:rPr>
          <w:rFonts w:ascii="Garamond" w:hAnsi="Garamond"/>
          <w:b/>
        </w:rPr>
        <w:t>iyo</w:t>
      </w:r>
      <w:r>
        <w:rPr>
          <w:rFonts w:ascii="Garamond" w:hAnsi="Garamond"/>
          <w:b/>
        </w:rPr>
        <w:t xml:space="preserve"> </w:t>
      </w:r>
      <w:r w:rsidRPr="005349FE">
        <w:rPr>
          <w:rFonts w:ascii="Garamond" w:hAnsi="Garamond"/>
          <w:b/>
        </w:rPr>
        <w:t>Arrimaha</w:t>
      </w:r>
      <w:r>
        <w:rPr>
          <w:rFonts w:ascii="Garamond" w:hAnsi="Garamond"/>
          <w:b/>
        </w:rPr>
        <w:t xml:space="preserve"> </w:t>
      </w:r>
      <w:r w:rsidRPr="005349FE">
        <w:rPr>
          <w:rFonts w:ascii="Garamond" w:hAnsi="Garamond"/>
          <w:b/>
        </w:rPr>
        <w:t>Qoyska</w:t>
      </w:r>
    </w:p>
    <w:p w14:paraId="39AF9454" w14:textId="3ADA0EEB" w:rsidR="00516483" w:rsidRPr="005349FE" w:rsidRDefault="00516483" w:rsidP="00516483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00" w:after="10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Ministry of Women Development and Family Affairs </w:t>
      </w:r>
    </w:p>
    <w:p w14:paraId="1C584ADF" w14:textId="2CBBA273" w:rsidR="00516483" w:rsidRPr="005349FE" w:rsidRDefault="00516483" w:rsidP="00516483">
      <w:pPr>
        <w:ind w:left="6480"/>
        <w:jc w:val="both"/>
        <w:rPr>
          <w:rFonts w:ascii="Garamond" w:hAnsi="Garamond"/>
          <w:b/>
        </w:rPr>
      </w:pPr>
      <w:r w:rsidRPr="00516483">
        <w:rPr>
          <w:rFonts w:ascii="Garamond" w:hAnsi="Garamond"/>
          <w:b/>
          <w:highlight w:val="yellow"/>
        </w:rPr>
        <w:t xml:space="preserve">Date: </w:t>
      </w:r>
      <w:r w:rsidR="003F6CC4">
        <w:rPr>
          <w:rFonts w:ascii="Garamond" w:hAnsi="Garamond"/>
          <w:b/>
          <w:highlight w:val="yellow"/>
        </w:rPr>
        <w:t>6</w:t>
      </w:r>
      <w:r w:rsidRPr="00516483">
        <w:rPr>
          <w:rFonts w:ascii="Garamond" w:hAnsi="Garamond"/>
          <w:b/>
          <w:highlight w:val="yellow"/>
        </w:rPr>
        <w:t>/</w:t>
      </w:r>
      <w:r w:rsidR="003F6CC4">
        <w:rPr>
          <w:rFonts w:ascii="Garamond" w:hAnsi="Garamond"/>
          <w:b/>
          <w:highlight w:val="yellow"/>
        </w:rPr>
        <w:t>Dec</w:t>
      </w:r>
      <w:bookmarkStart w:id="0" w:name="_GoBack"/>
      <w:bookmarkEnd w:id="0"/>
      <w:r w:rsidRPr="00516483">
        <w:rPr>
          <w:rFonts w:ascii="Garamond" w:hAnsi="Garamond"/>
          <w:b/>
          <w:highlight w:val="yellow"/>
        </w:rPr>
        <w:t>ember/2025</w:t>
      </w:r>
    </w:p>
    <w:p w14:paraId="1E9A0779" w14:textId="77777777" w:rsidR="007A35D2" w:rsidRDefault="007A35D2"/>
    <w:p w14:paraId="52C0881A" w14:textId="77777777" w:rsidR="00516483" w:rsidRPr="00516483" w:rsidRDefault="00516483" w:rsidP="00516483">
      <w:pPr>
        <w:spacing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 w:rsidRPr="00516483">
        <w:rPr>
          <w:rFonts w:asciiTheme="minorHAnsi" w:hAnsiTheme="minorHAnsi" w:cstheme="minorHAnsi"/>
          <w:b/>
          <w:bCs/>
          <w:lang w:val="en-US"/>
        </w:rPr>
        <w:t>Terms of Reference (</w:t>
      </w:r>
      <w:proofErr w:type="spellStart"/>
      <w:r w:rsidRPr="00516483">
        <w:rPr>
          <w:rFonts w:asciiTheme="minorHAnsi" w:hAnsiTheme="minorHAnsi" w:cstheme="minorHAnsi"/>
          <w:b/>
          <w:bCs/>
          <w:lang w:val="en-US"/>
        </w:rPr>
        <w:t>ToR</w:t>
      </w:r>
      <w:proofErr w:type="spellEnd"/>
      <w:r w:rsidRPr="00516483">
        <w:rPr>
          <w:rFonts w:asciiTheme="minorHAnsi" w:hAnsiTheme="minorHAnsi" w:cstheme="minorHAnsi"/>
          <w:b/>
          <w:bCs/>
          <w:lang w:val="en-US"/>
        </w:rPr>
        <w:t>)</w:t>
      </w:r>
    </w:p>
    <w:p w14:paraId="3F3229C2" w14:textId="77777777" w:rsidR="00516483" w:rsidRPr="00516483" w:rsidRDefault="00516483" w:rsidP="00516483">
      <w:pPr>
        <w:spacing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 w:rsidRPr="00516483">
        <w:rPr>
          <w:rFonts w:asciiTheme="minorHAnsi" w:hAnsiTheme="minorHAnsi" w:cstheme="minorHAnsi"/>
          <w:b/>
          <w:bCs/>
          <w:lang w:val="en-US"/>
        </w:rPr>
        <w:t>1. BACKGROUND</w:t>
      </w:r>
    </w:p>
    <w:p w14:paraId="0278C8ED" w14:textId="77777777" w:rsidR="00516483" w:rsidRDefault="00516483" w:rsidP="00516483">
      <w:p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lang w:val="en-US"/>
        </w:rPr>
        <w:t>UNICEF supports governments and partners worldwide to strengthen child protection and social welfare systems. A critical component of this effort is the professionalization of the social workforce. In Somalia, UNICEF, in collaboration with the Ministry of Women and Human Rights Development (</w:t>
      </w:r>
      <w:proofErr w:type="spellStart"/>
      <w:r w:rsidRPr="00516483">
        <w:rPr>
          <w:rFonts w:asciiTheme="minorHAnsi" w:hAnsiTheme="minorHAnsi" w:cstheme="minorHAnsi"/>
          <w:lang w:val="en-US"/>
        </w:rPr>
        <w:t>MoWHRD</w:t>
      </w:r>
      <w:proofErr w:type="spellEnd"/>
      <w:r w:rsidRPr="00516483">
        <w:rPr>
          <w:rFonts w:asciiTheme="minorHAnsi" w:hAnsiTheme="minorHAnsi" w:cstheme="minorHAnsi"/>
          <w:lang w:val="en-US"/>
        </w:rPr>
        <w:t>), Federal Member States (FMS), and Somali universities, has developed and delivered numerous social work and vocational programs.</w:t>
      </w:r>
    </w:p>
    <w:p w14:paraId="3B6DA276" w14:textId="77777777" w:rsidR="00516483" w:rsidRPr="00516483" w:rsidRDefault="00516483" w:rsidP="00516483">
      <w:pPr>
        <w:spacing w:line="276" w:lineRule="auto"/>
        <w:jc w:val="both"/>
        <w:rPr>
          <w:rFonts w:asciiTheme="minorHAnsi" w:hAnsiTheme="minorHAnsi" w:cstheme="minorHAnsi"/>
          <w:lang w:val="en-US"/>
        </w:rPr>
      </w:pPr>
    </w:p>
    <w:p w14:paraId="6EC0F094" w14:textId="77777777" w:rsidR="00516483" w:rsidRPr="00516483" w:rsidRDefault="00516483" w:rsidP="00516483">
      <w:pPr>
        <w:spacing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 w:rsidRPr="00516483">
        <w:rPr>
          <w:rFonts w:asciiTheme="minorHAnsi" w:hAnsiTheme="minorHAnsi" w:cstheme="minorHAnsi"/>
          <w:b/>
          <w:bCs/>
          <w:lang w:val="en-US"/>
        </w:rPr>
        <w:t>Achievements Include:</w:t>
      </w:r>
    </w:p>
    <w:p w14:paraId="7ADA5EB7" w14:textId="77777777" w:rsidR="00516483" w:rsidRPr="00516483" w:rsidRDefault="00516483" w:rsidP="00516483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lang w:val="en-US"/>
        </w:rPr>
        <w:t>Development of a national curriculum for social work at various levels (certificate, diploma, degree).</w:t>
      </w:r>
    </w:p>
    <w:p w14:paraId="26709A7A" w14:textId="77777777" w:rsidR="00516483" w:rsidRPr="00516483" w:rsidRDefault="00516483" w:rsidP="00516483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lang w:val="en-US"/>
        </w:rPr>
        <w:t>Graduation of over 2,000 professional social workers.</w:t>
      </w:r>
    </w:p>
    <w:p w14:paraId="48E307DF" w14:textId="77777777" w:rsidR="00516483" w:rsidRPr="00516483" w:rsidRDefault="00516483" w:rsidP="00516483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lang w:val="en-US"/>
        </w:rPr>
        <w:t>Vocational skills programs benefiting adolescents and youth in trades like plumbing, tailoring, and electrical work.</w:t>
      </w:r>
    </w:p>
    <w:p w14:paraId="48B1CFC7" w14:textId="77777777" w:rsidR="00516483" w:rsidRPr="00516483" w:rsidRDefault="00516483" w:rsidP="00516483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lang w:val="en-US"/>
        </w:rPr>
        <w:t>Employment advocacy resulting in approximately 25% graduate placement.</w:t>
      </w:r>
    </w:p>
    <w:p w14:paraId="687CCFFF" w14:textId="77777777" w:rsidR="00516483" w:rsidRDefault="00516483" w:rsidP="00516483">
      <w:p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lang w:val="en-US"/>
        </w:rPr>
        <w:t>Despite these achievements, systematic recordkeeping and tracking of graduates are inadequate, inhibiting their integration into the workforce. To address this need, UNICEF proposes the development of a secure, integrated online platform to enable effective tracking and maintain updated profiles for graduates while facilitating connections with potential employers.</w:t>
      </w:r>
    </w:p>
    <w:p w14:paraId="76CF97E5" w14:textId="77777777" w:rsidR="00516483" w:rsidRPr="00516483" w:rsidRDefault="00516483" w:rsidP="00516483">
      <w:pPr>
        <w:spacing w:line="276" w:lineRule="auto"/>
        <w:jc w:val="both"/>
        <w:rPr>
          <w:rFonts w:asciiTheme="minorHAnsi" w:hAnsiTheme="minorHAnsi" w:cstheme="minorHAnsi"/>
          <w:lang w:val="en-US"/>
        </w:rPr>
      </w:pPr>
    </w:p>
    <w:p w14:paraId="17444726" w14:textId="77777777" w:rsidR="00516483" w:rsidRPr="00516483" w:rsidRDefault="00516483" w:rsidP="00516483">
      <w:pPr>
        <w:spacing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 w:rsidRPr="00516483">
        <w:rPr>
          <w:rFonts w:asciiTheme="minorHAnsi" w:hAnsiTheme="minorHAnsi" w:cstheme="minorHAnsi"/>
          <w:b/>
          <w:bCs/>
          <w:lang w:val="en-US"/>
        </w:rPr>
        <w:t>2. SCOPE OF WORK</w:t>
      </w:r>
    </w:p>
    <w:p w14:paraId="316A4AA8" w14:textId="77777777" w:rsidR="00516483" w:rsidRPr="00516483" w:rsidRDefault="00516483" w:rsidP="00516483">
      <w:p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lang w:val="en-US"/>
        </w:rPr>
        <w:t>The contractor will be responsible for:</w:t>
      </w:r>
    </w:p>
    <w:p w14:paraId="55BEDE4E" w14:textId="77777777" w:rsidR="00516483" w:rsidRPr="00516483" w:rsidRDefault="00516483" w:rsidP="00516483">
      <w:pPr>
        <w:numPr>
          <w:ilvl w:val="0"/>
          <w:numId w:val="2"/>
        </w:numPr>
        <w:tabs>
          <w:tab w:val="clear" w:pos="360"/>
          <w:tab w:val="num" w:pos="720"/>
        </w:tabs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b/>
          <w:bCs/>
          <w:lang w:val="en-US"/>
        </w:rPr>
        <w:t>Design, Development, and Deployment</w:t>
      </w:r>
    </w:p>
    <w:p w14:paraId="166336EC" w14:textId="77777777" w:rsidR="00516483" w:rsidRPr="00516483" w:rsidRDefault="00516483" w:rsidP="00516483">
      <w:pPr>
        <w:numPr>
          <w:ilvl w:val="1"/>
          <w:numId w:val="2"/>
        </w:numPr>
        <w:tabs>
          <w:tab w:val="num" w:pos="1440"/>
        </w:tabs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lang w:val="en-US"/>
        </w:rPr>
        <w:t>Create a secure, user-friendly digital platform for profiling, tracking, and advocating for social work and vocational graduates, incorporating data privacy and protection measures.</w:t>
      </w:r>
    </w:p>
    <w:p w14:paraId="773EB461" w14:textId="77777777" w:rsidR="00516483" w:rsidRPr="00516483" w:rsidRDefault="00516483" w:rsidP="00516483">
      <w:pPr>
        <w:numPr>
          <w:ilvl w:val="0"/>
          <w:numId w:val="2"/>
        </w:numPr>
        <w:tabs>
          <w:tab w:val="clear" w:pos="360"/>
          <w:tab w:val="num" w:pos="720"/>
        </w:tabs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b/>
          <w:bCs/>
          <w:lang w:val="en-US"/>
        </w:rPr>
        <w:t>Integration of Dashboards and Analytics</w:t>
      </w:r>
    </w:p>
    <w:p w14:paraId="3B9AD35E" w14:textId="77777777" w:rsidR="00516483" w:rsidRPr="00516483" w:rsidRDefault="00516483" w:rsidP="00516483">
      <w:pPr>
        <w:numPr>
          <w:ilvl w:val="1"/>
          <w:numId w:val="2"/>
        </w:numPr>
        <w:tabs>
          <w:tab w:val="num" w:pos="1440"/>
        </w:tabs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lang w:val="en-US"/>
        </w:rPr>
        <w:t>Develop tools for visualizing workforce data disaggregated by location, sector, gender, qualification level, and employment status, aiding evidence-based decision-making.</w:t>
      </w:r>
    </w:p>
    <w:p w14:paraId="3DAB86CE" w14:textId="77777777" w:rsidR="00516483" w:rsidRPr="00516483" w:rsidRDefault="00516483" w:rsidP="00516483">
      <w:pPr>
        <w:numPr>
          <w:ilvl w:val="0"/>
          <w:numId w:val="2"/>
        </w:numPr>
        <w:tabs>
          <w:tab w:val="clear" w:pos="360"/>
          <w:tab w:val="num" w:pos="720"/>
        </w:tabs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b/>
          <w:bCs/>
          <w:lang w:val="en-US"/>
        </w:rPr>
        <w:t>Resource Repository and Job Posting Interface</w:t>
      </w:r>
    </w:p>
    <w:p w14:paraId="785F5583" w14:textId="77777777" w:rsidR="00516483" w:rsidRPr="00516483" w:rsidRDefault="00516483" w:rsidP="00516483">
      <w:pPr>
        <w:numPr>
          <w:ilvl w:val="1"/>
          <w:numId w:val="2"/>
        </w:numPr>
        <w:tabs>
          <w:tab w:val="num" w:pos="1440"/>
        </w:tabs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lang w:val="en-US"/>
        </w:rPr>
        <w:lastRenderedPageBreak/>
        <w:t>Integrate a repository for key learning resources and develop an interface for job postings, events, and professional development opportunities relevant to graduates.</w:t>
      </w:r>
    </w:p>
    <w:p w14:paraId="7C608A22" w14:textId="77777777" w:rsidR="00516483" w:rsidRPr="00516483" w:rsidRDefault="00516483" w:rsidP="00516483">
      <w:pPr>
        <w:numPr>
          <w:ilvl w:val="0"/>
          <w:numId w:val="2"/>
        </w:numPr>
        <w:tabs>
          <w:tab w:val="clear" w:pos="360"/>
          <w:tab w:val="num" w:pos="720"/>
        </w:tabs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b/>
          <w:bCs/>
          <w:lang w:val="en-US"/>
        </w:rPr>
        <w:t>Documentation and Training Materials</w:t>
      </w:r>
    </w:p>
    <w:p w14:paraId="1EA02AD2" w14:textId="77777777" w:rsidR="00516483" w:rsidRPr="00516483" w:rsidRDefault="00516483" w:rsidP="00516483">
      <w:pPr>
        <w:numPr>
          <w:ilvl w:val="1"/>
          <w:numId w:val="2"/>
        </w:numPr>
        <w:tabs>
          <w:tab w:val="num" w:pos="1440"/>
        </w:tabs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lang w:val="en-US"/>
        </w:rPr>
        <w:t>Create a comprehensive system manual, including user guides and training resources tailored for administrators and end-users.</w:t>
      </w:r>
    </w:p>
    <w:p w14:paraId="0197867F" w14:textId="77777777" w:rsidR="00516483" w:rsidRPr="00516483" w:rsidRDefault="00516483" w:rsidP="00516483">
      <w:pPr>
        <w:numPr>
          <w:ilvl w:val="0"/>
          <w:numId w:val="2"/>
        </w:numPr>
        <w:tabs>
          <w:tab w:val="clear" w:pos="360"/>
          <w:tab w:val="num" w:pos="720"/>
        </w:tabs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b/>
          <w:bCs/>
          <w:lang w:val="en-US"/>
        </w:rPr>
        <w:t>User Roles and Access Controls</w:t>
      </w:r>
    </w:p>
    <w:p w14:paraId="2D0F5F33" w14:textId="77777777" w:rsidR="00516483" w:rsidRPr="00516483" w:rsidRDefault="00516483" w:rsidP="00516483">
      <w:pPr>
        <w:numPr>
          <w:ilvl w:val="1"/>
          <w:numId w:val="2"/>
        </w:numPr>
        <w:tabs>
          <w:tab w:val="num" w:pos="1440"/>
        </w:tabs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lang w:val="en-US"/>
        </w:rPr>
        <w:t>Establish roles and access controls to ensure appropriate data governance and system security.</w:t>
      </w:r>
    </w:p>
    <w:p w14:paraId="41C3EFAF" w14:textId="77777777" w:rsidR="00516483" w:rsidRPr="00516483" w:rsidRDefault="00516483" w:rsidP="00516483">
      <w:pPr>
        <w:numPr>
          <w:ilvl w:val="0"/>
          <w:numId w:val="2"/>
        </w:numPr>
        <w:tabs>
          <w:tab w:val="clear" w:pos="360"/>
          <w:tab w:val="num" w:pos="720"/>
        </w:tabs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b/>
          <w:bCs/>
          <w:lang w:val="en-US"/>
        </w:rPr>
        <w:t>Graduate Registration and Verification Module</w:t>
      </w:r>
    </w:p>
    <w:p w14:paraId="14CEEED8" w14:textId="77777777" w:rsidR="00516483" w:rsidRPr="00516483" w:rsidRDefault="00516483" w:rsidP="00516483">
      <w:pPr>
        <w:numPr>
          <w:ilvl w:val="1"/>
          <w:numId w:val="2"/>
        </w:numPr>
        <w:tabs>
          <w:tab w:val="num" w:pos="1440"/>
        </w:tabs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lang w:val="en-US"/>
        </w:rPr>
        <w:t>Implement a module for continuous updating and validation of graduate profiles.</w:t>
      </w:r>
    </w:p>
    <w:p w14:paraId="61ADA397" w14:textId="77777777" w:rsidR="00516483" w:rsidRPr="00516483" w:rsidRDefault="00516483" w:rsidP="00516483">
      <w:pPr>
        <w:numPr>
          <w:ilvl w:val="0"/>
          <w:numId w:val="2"/>
        </w:numPr>
        <w:tabs>
          <w:tab w:val="clear" w:pos="360"/>
          <w:tab w:val="num" w:pos="720"/>
        </w:tabs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b/>
          <w:bCs/>
          <w:lang w:val="en-US"/>
        </w:rPr>
        <w:t>User Training and Ongoing Support</w:t>
      </w:r>
    </w:p>
    <w:p w14:paraId="5D69D0DD" w14:textId="77777777" w:rsidR="00516483" w:rsidRPr="00516483" w:rsidRDefault="00516483" w:rsidP="00516483">
      <w:pPr>
        <w:numPr>
          <w:ilvl w:val="1"/>
          <w:numId w:val="2"/>
        </w:numPr>
        <w:tabs>
          <w:tab w:val="num" w:pos="1440"/>
        </w:tabs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lang w:val="en-US"/>
        </w:rPr>
        <w:t>Conduct training sessions for users and provide ongoing technical support to promote sustainability and capacity for system management.</w:t>
      </w:r>
    </w:p>
    <w:p w14:paraId="3F7E9589" w14:textId="77777777" w:rsidR="00516483" w:rsidRPr="00516483" w:rsidRDefault="00516483" w:rsidP="00516483">
      <w:pPr>
        <w:numPr>
          <w:ilvl w:val="0"/>
          <w:numId w:val="2"/>
        </w:numPr>
        <w:tabs>
          <w:tab w:val="clear" w:pos="360"/>
          <w:tab w:val="num" w:pos="720"/>
        </w:tabs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b/>
          <w:bCs/>
          <w:lang w:val="en-US"/>
        </w:rPr>
        <w:t>Pilot Testing and Feedback Collection</w:t>
      </w:r>
    </w:p>
    <w:p w14:paraId="763B8E25" w14:textId="77777777" w:rsidR="00516483" w:rsidRPr="00516483" w:rsidRDefault="00516483" w:rsidP="00516483">
      <w:pPr>
        <w:numPr>
          <w:ilvl w:val="1"/>
          <w:numId w:val="2"/>
        </w:numPr>
        <w:tabs>
          <w:tab w:val="num" w:pos="1440"/>
        </w:tabs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lang w:val="en-US"/>
        </w:rPr>
        <w:t>Pilot the system in selected regions, gather feedback, and refine functionality based on user experience.</w:t>
      </w:r>
    </w:p>
    <w:p w14:paraId="65C9186D" w14:textId="77777777" w:rsidR="00516483" w:rsidRPr="00516483" w:rsidRDefault="00516483" w:rsidP="00516483">
      <w:pPr>
        <w:numPr>
          <w:ilvl w:val="0"/>
          <w:numId w:val="2"/>
        </w:numPr>
        <w:tabs>
          <w:tab w:val="clear" w:pos="360"/>
          <w:tab w:val="num" w:pos="720"/>
        </w:tabs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b/>
          <w:bCs/>
          <w:lang w:val="en-US"/>
        </w:rPr>
        <w:t>System Maintenance and Update Plan</w:t>
      </w:r>
    </w:p>
    <w:p w14:paraId="3477BFB3" w14:textId="5B86C261" w:rsidR="00516483" w:rsidRDefault="00516483" w:rsidP="00516483">
      <w:pPr>
        <w:numPr>
          <w:ilvl w:val="1"/>
          <w:numId w:val="2"/>
        </w:numPr>
        <w:tabs>
          <w:tab w:val="num" w:pos="1440"/>
        </w:tabs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lang w:val="en-US"/>
        </w:rPr>
        <w:t>Establish protocols for data backup, system upgrades, and troubleshooting to ensure long-term effectiveness.</w:t>
      </w:r>
    </w:p>
    <w:p w14:paraId="1F665B4A" w14:textId="77777777" w:rsidR="00516483" w:rsidRPr="00516483" w:rsidRDefault="00516483" w:rsidP="00516483">
      <w:pPr>
        <w:spacing w:line="276" w:lineRule="auto"/>
        <w:ind w:left="360"/>
        <w:jc w:val="both"/>
        <w:rPr>
          <w:rFonts w:asciiTheme="minorHAnsi" w:hAnsiTheme="minorHAnsi" w:cstheme="minorHAnsi"/>
          <w:lang w:val="en-US"/>
        </w:rPr>
      </w:pPr>
    </w:p>
    <w:p w14:paraId="15DCE7E0" w14:textId="77777777" w:rsidR="00516483" w:rsidRPr="00516483" w:rsidRDefault="00516483" w:rsidP="00516483">
      <w:pPr>
        <w:spacing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 w:rsidRPr="00516483">
        <w:rPr>
          <w:rFonts w:asciiTheme="minorHAnsi" w:hAnsiTheme="minorHAnsi" w:cstheme="minorHAnsi"/>
          <w:b/>
          <w:bCs/>
          <w:lang w:val="en-US"/>
        </w:rPr>
        <w:t>3. KEY DELIVERABLES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4"/>
        <w:gridCol w:w="1392"/>
      </w:tblGrid>
      <w:tr w:rsidR="00516483" w:rsidRPr="00516483" w14:paraId="23D5F50D" w14:textId="77777777" w:rsidTr="00516483">
        <w:tc>
          <w:tcPr>
            <w:tcW w:w="0" w:type="auto"/>
            <w:hideMark/>
          </w:tcPr>
          <w:p w14:paraId="56B84308" w14:textId="77777777" w:rsidR="00516483" w:rsidRPr="00516483" w:rsidRDefault="00516483" w:rsidP="0051648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516483">
              <w:rPr>
                <w:rFonts w:asciiTheme="minorHAnsi" w:hAnsiTheme="minorHAnsi" w:cstheme="minorHAnsi"/>
                <w:b/>
                <w:bCs/>
                <w:lang w:val="en-US"/>
              </w:rPr>
              <w:t>Deliverable</w:t>
            </w:r>
          </w:p>
        </w:tc>
        <w:tc>
          <w:tcPr>
            <w:tcW w:w="0" w:type="auto"/>
            <w:hideMark/>
          </w:tcPr>
          <w:p w14:paraId="75F06EC2" w14:textId="77777777" w:rsidR="00516483" w:rsidRPr="00516483" w:rsidRDefault="00516483" w:rsidP="0051648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516483">
              <w:rPr>
                <w:rFonts w:asciiTheme="minorHAnsi" w:hAnsiTheme="minorHAnsi" w:cstheme="minorHAnsi"/>
                <w:b/>
                <w:bCs/>
                <w:lang w:val="en-US"/>
              </w:rPr>
              <w:t>Timeline</w:t>
            </w:r>
          </w:p>
        </w:tc>
      </w:tr>
      <w:tr w:rsidR="00516483" w:rsidRPr="00516483" w14:paraId="1DB9ABC4" w14:textId="77777777" w:rsidTr="00516483">
        <w:tc>
          <w:tcPr>
            <w:tcW w:w="0" w:type="auto"/>
            <w:hideMark/>
          </w:tcPr>
          <w:p w14:paraId="6226AED7" w14:textId="77777777" w:rsidR="00516483" w:rsidRPr="00516483" w:rsidRDefault="00516483" w:rsidP="00516483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516483">
              <w:rPr>
                <w:rFonts w:asciiTheme="minorHAnsi" w:hAnsiTheme="minorHAnsi" w:cstheme="minorHAnsi"/>
                <w:lang w:val="en-US"/>
              </w:rPr>
              <w:t>Inception Report and Work Plan</w:t>
            </w:r>
          </w:p>
        </w:tc>
        <w:tc>
          <w:tcPr>
            <w:tcW w:w="0" w:type="auto"/>
            <w:hideMark/>
          </w:tcPr>
          <w:p w14:paraId="010E5403" w14:textId="77777777" w:rsidR="00516483" w:rsidRPr="00516483" w:rsidRDefault="00516483" w:rsidP="00516483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516483">
              <w:rPr>
                <w:rFonts w:asciiTheme="minorHAnsi" w:hAnsiTheme="minorHAnsi" w:cstheme="minorHAnsi"/>
                <w:lang w:val="en-US"/>
              </w:rPr>
              <w:t>Week 1-2</w:t>
            </w:r>
          </w:p>
        </w:tc>
      </w:tr>
      <w:tr w:rsidR="00516483" w:rsidRPr="00516483" w14:paraId="101017F1" w14:textId="77777777" w:rsidTr="00516483">
        <w:tc>
          <w:tcPr>
            <w:tcW w:w="0" w:type="auto"/>
            <w:hideMark/>
          </w:tcPr>
          <w:p w14:paraId="76FF4C47" w14:textId="77777777" w:rsidR="00516483" w:rsidRPr="00516483" w:rsidRDefault="00516483" w:rsidP="00516483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516483">
              <w:rPr>
                <w:rFonts w:asciiTheme="minorHAnsi" w:hAnsiTheme="minorHAnsi" w:cstheme="minorHAnsi"/>
                <w:lang w:val="en-US"/>
              </w:rPr>
              <w:t>System Design and Architecture Blueprint</w:t>
            </w:r>
          </w:p>
        </w:tc>
        <w:tc>
          <w:tcPr>
            <w:tcW w:w="0" w:type="auto"/>
            <w:hideMark/>
          </w:tcPr>
          <w:p w14:paraId="3B1E2F79" w14:textId="77777777" w:rsidR="00516483" w:rsidRPr="00516483" w:rsidRDefault="00516483" w:rsidP="00516483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516483">
              <w:rPr>
                <w:rFonts w:asciiTheme="minorHAnsi" w:hAnsiTheme="minorHAnsi" w:cstheme="minorHAnsi"/>
                <w:lang w:val="en-US"/>
              </w:rPr>
              <w:t>Week 3-4</w:t>
            </w:r>
          </w:p>
        </w:tc>
      </w:tr>
      <w:tr w:rsidR="00516483" w:rsidRPr="00516483" w14:paraId="068F1E53" w14:textId="77777777" w:rsidTr="00516483">
        <w:tc>
          <w:tcPr>
            <w:tcW w:w="0" w:type="auto"/>
            <w:hideMark/>
          </w:tcPr>
          <w:p w14:paraId="54732A01" w14:textId="77777777" w:rsidR="00516483" w:rsidRPr="00516483" w:rsidRDefault="00516483" w:rsidP="00516483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516483">
              <w:rPr>
                <w:rFonts w:asciiTheme="minorHAnsi" w:hAnsiTheme="minorHAnsi" w:cstheme="minorHAnsi"/>
                <w:lang w:val="en-US"/>
              </w:rPr>
              <w:t>Development of Core Platform Modules</w:t>
            </w:r>
          </w:p>
        </w:tc>
        <w:tc>
          <w:tcPr>
            <w:tcW w:w="0" w:type="auto"/>
            <w:hideMark/>
          </w:tcPr>
          <w:p w14:paraId="611F3DB4" w14:textId="77777777" w:rsidR="00516483" w:rsidRPr="00516483" w:rsidRDefault="00516483" w:rsidP="00516483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516483">
              <w:rPr>
                <w:rFonts w:asciiTheme="minorHAnsi" w:hAnsiTheme="minorHAnsi" w:cstheme="minorHAnsi"/>
                <w:lang w:val="en-US"/>
              </w:rPr>
              <w:t>Week 5-8</w:t>
            </w:r>
          </w:p>
        </w:tc>
      </w:tr>
      <w:tr w:rsidR="00516483" w:rsidRPr="00516483" w14:paraId="3149CD03" w14:textId="77777777" w:rsidTr="00516483">
        <w:tc>
          <w:tcPr>
            <w:tcW w:w="0" w:type="auto"/>
            <w:hideMark/>
          </w:tcPr>
          <w:p w14:paraId="3B8B1A43" w14:textId="77777777" w:rsidR="00516483" w:rsidRPr="00516483" w:rsidRDefault="00516483" w:rsidP="00516483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516483">
              <w:rPr>
                <w:rFonts w:asciiTheme="minorHAnsi" w:hAnsiTheme="minorHAnsi" w:cstheme="minorHAnsi"/>
                <w:lang w:val="en-US"/>
              </w:rPr>
              <w:t>Integration of Dashboards and Reporting Tools</w:t>
            </w:r>
          </w:p>
        </w:tc>
        <w:tc>
          <w:tcPr>
            <w:tcW w:w="0" w:type="auto"/>
            <w:hideMark/>
          </w:tcPr>
          <w:p w14:paraId="627B5A73" w14:textId="77777777" w:rsidR="00516483" w:rsidRPr="00516483" w:rsidRDefault="00516483" w:rsidP="00516483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516483">
              <w:rPr>
                <w:rFonts w:asciiTheme="minorHAnsi" w:hAnsiTheme="minorHAnsi" w:cstheme="minorHAnsi"/>
                <w:lang w:val="en-US"/>
              </w:rPr>
              <w:t>Week 7-9</w:t>
            </w:r>
          </w:p>
        </w:tc>
      </w:tr>
      <w:tr w:rsidR="00516483" w:rsidRPr="00516483" w14:paraId="4D42205C" w14:textId="77777777" w:rsidTr="00516483">
        <w:tc>
          <w:tcPr>
            <w:tcW w:w="0" w:type="auto"/>
            <w:hideMark/>
          </w:tcPr>
          <w:p w14:paraId="774AC0C1" w14:textId="77777777" w:rsidR="00516483" w:rsidRPr="00516483" w:rsidRDefault="00516483" w:rsidP="00516483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516483">
              <w:rPr>
                <w:rFonts w:asciiTheme="minorHAnsi" w:hAnsiTheme="minorHAnsi" w:cstheme="minorHAnsi"/>
                <w:lang w:val="en-US"/>
              </w:rPr>
              <w:t>System Manual and Training Materials</w:t>
            </w:r>
          </w:p>
        </w:tc>
        <w:tc>
          <w:tcPr>
            <w:tcW w:w="0" w:type="auto"/>
            <w:hideMark/>
          </w:tcPr>
          <w:p w14:paraId="09D1B60F" w14:textId="77777777" w:rsidR="00516483" w:rsidRPr="00516483" w:rsidRDefault="00516483" w:rsidP="00516483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516483">
              <w:rPr>
                <w:rFonts w:asciiTheme="minorHAnsi" w:hAnsiTheme="minorHAnsi" w:cstheme="minorHAnsi"/>
                <w:lang w:val="en-US"/>
              </w:rPr>
              <w:t>Week 9-10</w:t>
            </w:r>
          </w:p>
        </w:tc>
      </w:tr>
      <w:tr w:rsidR="00516483" w:rsidRPr="00516483" w14:paraId="2C704213" w14:textId="77777777" w:rsidTr="00516483">
        <w:tc>
          <w:tcPr>
            <w:tcW w:w="0" w:type="auto"/>
            <w:hideMark/>
          </w:tcPr>
          <w:p w14:paraId="7CE04B20" w14:textId="77777777" w:rsidR="00516483" w:rsidRPr="00516483" w:rsidRDefault="00516483" w:rsidP="00516483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516483">
              <w:rPr>
                <w:rFonts w:asciiTheme="minorHAnsi" w:hAnsiTheme="minorHAnsi" w:cstheme="minorHAnsi"/>
                <w:lang w:val="en-US"/>
              </w:rPr>
              <w:t>User Training and Capacity Building</w:t>
            </w:r>
          </w:p>
        </w:tc>
        <w:tc>
          <w:tcPr>
            <w:tcW w:w="0" w:type="auto"/>
            <w:hideMark/>
          </w:tcPr>
          <w:p w14:paraId="43AF056F" w14:textId="77777777" w:rsidR="00516483" w:rsidRPr="00516483" w:rsidRDefault="00516483" w:rsidP="00516483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516483">
              <w:rPr>
                <w:rFonts w:asciiTheme="minorHAnsi" w:hAnsiTheme="minorHAnsi" w:cstheme="minorHAnsi"/>
                <w:lang w:val="en-US"/>
              </w:rPr>
              <w:t>Week 11</w:t>
            </w:r>
          </w:p>
        </w:tc>
      </w:tr>
      <w:tr w:rsidR="00516483" w:rsidRPr="00516483" w14:paraId="1A272F6A" w14:textId="77777777" w:rsidTr="00516483">
        <w:tc>
          <w:tcPr>
            <w:tcW w:w="0" w:type="auto"/>
            <w:hideMark/>
          </w:tcPr>
          <w:p w14:paraId="69A3A911" w14:textId="77777777" w:rsidR="00516483" w:rsidRPr="00516483" w:rsidRDefault="00516483" w:rsidP="00516483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516483">
              <w:rPr>
                <w:rFonts w:asciiTheme="minorHAnsi" w:hAnsiTheme="minorHAnsi" w:cstheme="minorHAnsi"/>
                <w:lang w:val="en-US"/>
              </w:rPr>
              <w:t>Pilot Testing and Feedback Collection</w:t>
            </w:r>
          </w:p>
        </w:tc>
        <w:tc>
          <w:tcPr>
            <w:tcW w:w="0" w:type="auto"/>
            <w:hideMark/>
          </w:tcPr>
          <w:p w14:paraId="4699ED08" w14:textId="77777777" w:rsidR="00516483" w:rsidRPr="00516483" w:rsidRDefault="00516483" w:rsidP="00516483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516483">
              <w:rPr>
                <w:rFonts w:asciiTheme="minorHAnsi" w:hAnsiTheme="minorHAnsi" w:cstheme="minorHAnsi"/>
                <w:lang w:val="en-US"/>
              </w:rPr>
              <w:t>Week 11-12</w:t>
            </w:r>
          </w:p>
        </w:tc>
      </w:tr>
      <w:tr w:rsidR="00516483" w:rsidRPr="00516483" w14:paraId="284F9AA4" w14:textId="77777777" w:rsidTr="00516483">
        <w:tc>
          <w:tcPr>
            <w:tcW w:w="0" w:type="auto"/>
            <w:hideMark/>
          </w:tcPr>
          <w:p w14:paraId="6C52B160" w14:textId="77777777" w:rsidR="00516483" w:rsidRPr="00516483" w:rsidRDefault="00516483" w:rsidP="00516483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516483">
              <w:rPr>
                <w:rFonts w:asciiTheme="minorHAnsi" w:hAnsiTheme="minorHAnsi" w:cstheme="minorHAnsi"/>
                <w:lang w:val="en-US"/>
              </w:rPr>
              <w:t>Final System Deployment and Handover</w:t>
            </w:r>
          </w:p>
        </w:tc>
        <w:tc>
          <w:tcPr>
            <w:tcW w:w="0" w:type="auto"/>
            <w:hideMark/>
          </w:tcPr>
          <w:p w14:paraId="3B6B8EBC" w14:textId="77777777" w:rsidR="00516483" w:rsidRPr="00516483" w:rsidRDefault="00516483" w:rsidP="00516483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516483">
              <w:rPr>
                <w:rFonts w:asciiTheme="minorHAnsi" w:hAnsiTheme="minorHAnsi" w:cstheme="minorHAnsi"/>
                <w:lang w:val="en-US"/>
              </w:rPr>
              <w:t>Week 12</w:t>
            </w:r>
          </w:p>
        </w:tc>
      </w:tr>
    </w:tbl>
    <w:p w14:paraId="7E6151A4" w14:textId="77777777" w:rsidR="00516483" w:rsidRDefault="00516483" w:rsidP="00516483">
      <w:pPr>
        <w:spacing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10EC3EFA" w14:textId="199130DA" w:rsidR="00516483" w:rsidRPr="00516483" w:rsidRDefault="00516483" w:rsidP="00516483">
      <w:pPr>
        <w:spacing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4. PROP</w:t>
      </w:r>
      <w:r w:rsidRPr="00516483">
        <w:rPr>
          <w:rFonts w:asciiTheme="minorHAnsi" w:hAnsiTheme="minorHAnsi" w:cstheme="minorHAnsi"/>
          <w:b/>
          <w:bCs/>
          <w:lang w:val="en-US"/>
        </w:rPr>
        <w:t>OSAL STRUCTURE</w:t>
      </w:r>
    </w:p>
    <w:p w14:paraId="5238B58A" w14:textId="77777777" w:rsidR="00516483" w:rsidRPr="00516483" w:rsidRDefault="00516483" w:rsidP="00516483">
      <w:p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lang w:val="en-US"/>
        </w:rPr>
        <w:t>Proposals should include:</w:t>
      </w:r>
    </w:p>
    <w:p w14:paraId="64995C3A" w14:textId="77777777" w:rsidR="00516483" w:rsidRPr="00516483" w:rsidRDefault="00516483" w:rsidP="00516483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lang w:val="en-US"/>
        </w:rPr>
        <w:t>Understanding of UNICEF’s and government requirements.</w:t>
      </w:r>
    </w:p>
    <w:p w14:paraId="6A7408E4" w14:textId="77777777" w:rsidR="00516483" w:rsidRPr="00516483" w:rsidRDefault="00516483" w:rsidP="00516483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lang w:val="en-US"/>
        </w:rPr>
        <w:t>Detailed work plan with timelines and milestones.</w:t>
      </w:r>
    </w:p>
    <w:p w14:paraId="0085FB48" w14:textId="77777777" w:rsidR="00516483" w:rsidRPr="00516483" w:rsidRDefault="00516483" w:rsidP="00516483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lang w:val="en-US"/>
        </w:rPr>
        <w:t>Quality assurance mechanisms (testing, privacy compliance, scalability).</w:t>
      </w:r>
    </w:p>
    <w:p w14:paraId="2F05B493" w14:textId="77777777" w:rsidR="00516483" w:rsidRPr="00516483" w:rsidRDefault="00516483" w:rsidP="00516483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lang w:val="en-US"/>
        </w:rPr>
        <w:t>Implementation assumptions and dependencies.</w:t>
      </w:r>
    </w:p>
    <w:p w14:paraId="08ED46D2" w14:textId="77777777" w:rsidR="00516483" w:rsidRDefault="00516483" w:rsidP="00516483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lang w:val="en-US"/>
        </w:rPr>
        <w:t>Budget proposal broken down by deliverables.</w:t>
      </w:r>
    </w:p>
    <w:p w14:paraId="4E291E6F" w14:textId="77777777" w:rsidR="00516483" w:rsidRDefault="00516483" w:rsidP="00516483">
      <w:pPr>
        <w:spacing w:line="276" w:lineRule="auto"/>
        <w:jc w:val="both"/>
        <w:rPr>
          <w:rFonts w:asciiTheme="minorHAnsi" w:hAnsiTheme="minorHAnsi" w:cstheme="minorHAnsi"/>
          <w:lang w:val="en-US"/>
        </w:rPr>
      </w:pPr>
    </w:p>
    <w:p w14:paraId="72A51FA6" w14:textId="77777777" w:rsidR="00516483" w:rsidRPr="00516483" w:rsidRDefault="00516483" w:rsidP="00516483">
      <w:pPr>
        <w:spacing w:line="276" w:lineRule="auto"/>
        <w:jc w:val="both"/>
        <w:rPr>
          <w:rFonts w:asciiTheme="minorHAnsi" w:hAnsiTheme="minorHAnsi" w:cstheme="minorHAnsi"/>
          <w:lang w:val="en-US"/>
        </w:rPr>
      </w:pPr>
    </w:p>
    <w:p w14:paraId="11C295FC" w14:textId="77777777" w:rsidR="00516483" w:rsidRPr="00516483" w:rsidRDefault="00516483" w:rsidP="00516483">
      <w:pPr>
        <w:spacing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 w:rsidRPr="00516483">
        <w:rPr>
          <w:rFonts w:asciiTheme="minorHAnsi" w:hAnsiTheme="minorHAnsi" w:cstheme="minorHAnsi"/>
          <w:b/>
          <w:bCs/>
          <w:lang w:val="en-US"/>
        </w:rPr>
        <w:t>5. ADMINISTRATIVE ARRANGEMENTS</w:t>
      </w:r>
    </w:p>
    <w:p w14:paraId="71009C67" w14:textId="77777777" w:rsidR="00516483" w:rsidRPr="00516483" w:rsidRDefault="00516483" w:rsidP="00516483">
      <w:pPr>
        <w:spacing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 w:rsidRPr="00516483">
        <w:rPr>
          <w:rFonts w:asciiTheme="minorHAnsi" w:hAnsiTheme="minorHAnsi" w:cstheme="minorHAnsi"/>
          <w:b/>
          <w:bCs/>
          <w:lang w:val="en-US"/>
        </w:rPr>
        <w:t>UNICEF Responsibilities</w:t>
      </w:r>
    </w:p>
    <w:p w14:paraId="3F7D1849" w14:textId="77777777" w:rsidR="00516483" w:rsidRPr="00516483" w:rsidRDefault="00516483" w:rsidP="00516483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lang w:val="en-US"/>
        </w:rPr>
        <w:t>Provide timely feedback and information.</w:t>
      </w:r>
    </w:p>
    <w:p w14:paraId="3D198A4D" w14:textId="77777777" w:rsidR="00516483" w:rsidRPr="00516483" w:rsidRDefault="00516483" w:rsidP="00516483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lang w:val="en-US"/>
        </w:rPr>
        <w:t>Facilitate access to relevant stakeholders and information.</w:t>
      </w:r>
    </w:p>
    <w:p w14:paraId="17DB8763" w14:textId="77777777" w:rsidR="00516483" w:rsidRPr="00516483" w:rsidRDefault="00516483" w:rsidP="00516483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lang w:val="en-US"/>
        </w:rPr>
        <w:t>Designate a focal point to liaise with the contractor.</w:t>
      </w:r>
    </w:p>
    <w:p w14:paraId="5BE5AB84" w14:textId="77777777" w:rsidR="00516483" w:rsidRPr="00516483" w:rsidRDefault="00516483" w:rsidP="00516483">
      <w:pPr>
        <w:spacing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 w:rsidRPr="00516483">
        <w:rPr>
          <w:rFonts w:asciiTheme="minorHAnsi" w:hAnsiTheme="minorHAnsi" w:cstheme="minorHAnsi"/>
          <w:b/>
          <w:bCs/>
          <w:lang w:val="en-US"/>
        </w:rPr>
        <w:t>Contractor Responsibilities</w:t>
      </w:r>
    </w:p>
    <w:p w14:paraId="14F1DCE5" w14:textId="77777777" w:rsidR="00516483" w:rsidRPr="00516483" w:rsidRDefault="00516483" w:rsidP="00516483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lang w:val="en-US"/>
        </w:rPr>
        <w:t>Ensure data confidentiality and adherence to UNICEF &amp; Government of Somalia standards.</w:t>
      </w:r>
    </w:p>
    <w:p w14:paraId="1DB3ECEC" w14:textId="77777777" w:rsidR="00516483" w:rsidRDefault="00516483" w:rsidP="00516483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lang w:val="en-US"/>
        </w:rPr>
        <w:t>Deliver agreed deliverables on time and to required quality.</w:t>
      </w:r>
    </w:p>
    <w:p w14:paraId="21AB5AFF" w14:textId="77777777" w:rsidR="00516483" w:rsidRPr="00516483" w:rsidRDefault="00516483" w:rsidP="00516483">
      <w:pPr>
        <w:spacing w:line="276" w:lineRule="auto"/>
        <w:ind w:left="720"/>
        <w:jc w:val="both"/>
        <w:rPr>
          <w:rFonts w:asciiTheme="minorHAnsi" w:hAnsiTheme="minorHAnsi" w:cstheme="minorHAnsi"/>
          <w:lang w:val="en-US"/>
        </w:rPr>
      </w:pPr>
    </w:p>
    <w:p w14:paraId="1A94E843" w14:textId="77777777" w:rsidR="00516483" w:rsidRPr="00516483" w:rsidRDefault="00516483" w:rsidP="00516483">
      <w:pPr>
        <w:spacing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 w:rsidRPr="00516483">
        <w:rPr>
          <w:rFonts w:asciiTheme="minorHAnsi" w:hAnsiTheme="minorHAnsi" w:cstheme="minorHAnsi"/>
          <w:b/>
          <w:bCs/>
          <w:lang w:val="en-US"/>
        </w:rPr>
        <w:t>6. PROJECT PARTICULARS</w:t>
      </w:r>
    </w:p>
    <w:p w14:paraId="5D9F139A" w14:textId="77777777" w:rsidR="00516483" w:rsidRPr="00516483" w:rsidRDefault="00516483" w:rsidP="00516483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b/>
          <w:bCs/>
          <w:lang w:val="en-US"/>
        </w:rPr>
        <w:t>Engagement Type:</w:t>
      </w:r>
      <w:r w:rsidRPr="00516483">
        <w:rPr>
          <w:rFonts w:asciiTheme="minorHAnsi" w:hAnsiTheme="minorHAnsi" w:cstheme="minorHAnsi"/>
          <w:lang w:val="en-US"/>
        </w:rPr>
        <w:t xml:space="preserve"> Firm fixed all-inclusive deliverable-based contract.</w:t>
      </w:r>
    </w:p>
    <w:p w14:paraId="3ABFDCCD" w14:textId="77777777" w:rsidR="00516483" w:rsidRPr="00516483" w:rsidRDefault="00516483" w:rsidP="00516483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b/>
          <w:bCs/>
          <w:lang w:val="en-US"/>
        </w:rPr>
        <w:t>Estimated Duration:</w:t>
      </w:r>
      <w:r w:rsidRPr="00516483">
        <w:rPr>
          <w:rFonts w:asciiTheme="minorHAnsi" w:hAnsiTheme="minorHAnsi" w:cstheme="minorHAnsi"/>
          <w:lang w:val="en-US"/>
        </w:rPr>
        <w:t xml:space="preserve"> 3 months.</w:t>
      </w:r>
    </w:p>
    <w:p w14:paraId="6D8686DA" w14:textId="77777777" w:rsidR="00516483" w:rsidRDefault="00516483" w:rsidP="00516483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b/>
          <w:bCs/>
          <w:lang w:val="en-US"/>
        </w:rPr>
        <w:t>Payment Terms:</w:t>
      </w:r>
      <w:r w:rsidRPr="00516483">
        <w:rPr>
          <w:rFonts w:asciiTheme="minorHAnsi" w:hAnsiTheme="minorHAnsi" w:cstheme="minorHAnsi"/>
          <w:lang w:val="en-US"/>
        </w:rPr>
        <w:t xml:space="preserve"> Payment per deliverable upon acceptance and satisfactory performance.</w:t>
      </w:r>
    </w:p>
    <w:p w14:paraId="23F422F1" w14:textId="77777777" w:rsidR="00516483" w:rsidRPr="00516483" w:rsidRDefault="00516483" w:rsidP="00516483">
      <w:pPr>
        <w:spacing w:line="276" w:lineRule="auto"/>
        <w:ind w:left="720"/>
        <w:jc w:val="both"/>
        <w:rPr>
          <w:rFonts w:asciiTheme="minorHAnsi" w:hAnsiTheme="minorHAnsi" w:cstheme="minorHAnsi"/>
          <w:lang w:val="en-US"/>
        </w:rPr>
      </w:pPr>
    </w:p>
    <w:p w14:paraId="5CF045FD" w14:textId="77777777" w:rsidR="00516483" w:rsidRPr="00516483" w:rsidRDefault="00516483" w:rsidP="00516483">
      <w:pPr>
        <w:spacing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 w:rsidRPr="00516483">
        <w:rPr>
          <w:rFonts w:asciiTheme="minorHAnsi" w:hAnsiTheme="minorHAnsi" w:cstheme="minorHAnsi"/>
          <w:b/>
          <w:bCs/>
          <w:lang w:val="en-US"/>
        </w:rPr>
        <w:t>7. QUALIFICATION REQUIREMENTS</w:t>
      </w:r>
    </w:p>
    <w:p w14:paraId="08B9F13A" w14:textId="77777777" w:rsidR="00516483" w:rsidRPr="00516483" w:rsidRDefault="00516483" w:rsidP="00516483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lang w:val="en-US"/>
        </w:rPr>
        <w:t>5-year proven experience in developing secure, multi-user online platforms.</w:t>
      </w:r>
    </w:p>
    <w:p w14:paraId="6067EA47" w14:textId="77777777" w:rsidR="00516483" w:rsidRPr="00516483" w:rsidRDefault="00516483" w:rsidP="00516483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lang w:val="en-US"/>
        </w:rPr>
        <w:t>Expertise in data privacy and protection, particularly for sensitive groups.</w:t>
      </w:r>
    </w:p>
    <w:p w14:paraId="0D938614" w14:textId="77777777" w:rsidR="00516483" w:rsidRPr="00516483" w:rsidRDefault="00516483" w:rsidP="00516483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lang w:val="en-US"/>
        </w:rPr>
        <w:t>Experience in data visualization and dashboard development.</w:t>
      </w:r>
    </w:p>
    <w:p w14:paraId="6F8B7066" w14:textId="77777777" w:rsidR="00516483" w:rsidRDefault="00516483" w:rsidP="00516483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lang w:val="en-US"/>
        </w:rPr>
        <w:t>Familiarity with child protection, social work, and vocational training contexts is advantageous.</w:t>
      </w:r>
    </w:p>
    <w:p w14:paraId="107E9E62" w14:textId="77777777" w:rsidR="00516483" w:rsidRPr="00516483" w:rsidRDefault="00516483" w:rsidP="00516483">
      <w:pPr>
        <w:spacing w:line="276" w:lineRule="auto"/>
        <w:ind w:left="720"/>
        <w:jc w:val="both"/>
        <w:rPr>
          <w:rFonts w:asciiTheme="minorHAnsi" w:hAnsiTheme="minorHAnsi" w:cstheme="minorHAnsi"/>
          <w:lang w:val="en-US"/>
        </w:rPr>
      </w:pPr>
    </w:p>
    <w:p w14:paraId="5363EFAA" w14:textId="77777777" w:rsidR="00516483" w:rsidRPr="00516483" w:rsidRDefault="00516483" w:rsidP="00516483">
      <w:pPr>
        <w:spacing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 w:rsidRPr="00516483">
        <w:rPr>
          <w:rFonts w:asciiTheme="minorHAnsi" w:hAnsiTheme="minorHAnsi" w:cstheme="minorHAnsi"/>
          <w:b/>
          <w:bCs/>
          <w:lang w:val="en-US"/>
        </w:rPr>
        <w:t>8. PROPOSED COSTS</w:t>
      </w:r>
    </w:p>
    <w:p w14:paraId="3BEE3B47" w14:textId="77777777" w:rsidR="00516483" w:rsidRDefault="00516483" w:rsidP="00516483">
      <w:pPr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16483">
        <w:rPr>
          <w:rFonts w:asciiTheme="minorHAnsi" w:hAnsiTheme="minorHAnsi" w:cstheme="minorHAnsi"/>
          <w:lang w:val="en-US"/>
        </w:rPr>
        <w:t>The vendor should submit a detailed budget proposal, broken down by deliverable, including an initial 5-year hosting/subscription plan. Costs should be all-inclusive (e.g., travel, hosting, miscellaneous costs) and fixed.</w:t>
      </w:r>
    </w:p>
    <w:p w14:paraId="5482B8E9" w14:textId="77777777" w:rsidR="00516483" w:rsidRPr="00516483" w:rsidRDefault="00516483" w:rsidP="00516483">
      <w:pPr>
        <w:spacing w:line="276" w:lineRule="auto"/>
        <w:jc w:val="both"/>
        <w:rPr>
          <w:rFonts w:asciiTheme="minorHAnsi" w:hAnsiTheme="minorHAnsi" w:cstheme="minorHAnsi"/>
          <w:lang w:val="en-US"/>
        </w:rPr>
      </w:pPr>
    </w:p>
    <w:p w14:paraId="3D64E98F" w14:textId="77777777" w:rsidR="00516483" w:rsidRPr="00516483" w:rsidRDefault="00516483" w:rsidP="00516483">
      <w:pPr>
        <w:spacing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 w:rsidRPr="00516483">
        <w:rPr>
          <w:rFonts w:asciiTheme="minorHAnsi" w:hAnsiTheme="minorHAnsi" w:cstheme="minorHAnsi"/>
          <w:b/>
          <w:bCs/>
          <w:lang w:val="en-US"/>
        </w:rPr>
        <w:t>9. ESTIMATED BUDGET BREAKDOWN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8"/>
        <w:gridCol w:w="2332"/>
      </w:tblGrid>
      <w:tr w:rsidR="00516483" w:rsidRPr="00516483" w14:paraId="7C519273" w14:textId="77777777" w:rsidTr="00516483">
        <w:tc>
          <w:tcPr>
            <w:tcW w:w="0" w:type="auto"/>
            <w:hideMark/>
          </w:tcPr>
          <w:p w14:paraId="6360F9D3" w14:textId="77777777" w:rsidR="00516483" w:rsidRPr="00516483" w:rsidRDefault="00516483" w:rsidP="0051648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516483">
              <w:rPr>
                <w:rFonts w:asciiTheme="minorHAnsi" w:hAnsiTheme="minorHAnsi" w:cstheme="minorHAnsi"/>
                <w:b/>
                <w:bCs/>
                <w:lang w:val="en-US"/>
              </w:rPr>
              <w:t>Deliverable</w:t>
            </w:r>
          </w:p>
        </w:tc>
        <w:tc>
          <w:tcPr>
            <w:tcW w:w="0" w:type="auto"/>
            <w:hideMark/>
          </w:tcPr>
          <w:p w14:paraId="1A5CFC8E" w14:textId="77777777" w:rsidR="00516483" w:rsidRPr="00516483" w:rsidRDefault="00516483" w:rsidP="0051648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516483">
              <w:rPr>
                <w:rFonts w:asciiTheme="minorHAnsi" w:hAnsiTheme="minorHAnsi" w:cstheme="minorHAnsi"/>
                <w:b/>
                <w:bCs/>
                <w:lang w:val="en-US"/>
              </w:rPr>
              <w:t>Estimated Cost (USD)</w:t>
            </w:r>
          </w:p>
        </w:tc>
      </w:tr>
      <w:tr w:rsidR="00516483" w:rsidRPr="00516483" w14:paraId="7CCEBD79" w14:textId="77777777" w:rsidTr="00FB7F15">
        <w:tc>
          <w:tcPr>
            <w:tcW w:w="0" w:type="auto"/>
            <w:hideMark/>
          </w:tcPr>
          <w:p w14:paraId="606C2ED3" w14:textId="77777777" w:rsidR="00516483" w:rsidRPr="00516483" w:rsidRDefault="00516483" w:rsidP="00516483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516483">
              <w:rPr>
                <w:rFonts w:asciiTheme="minorHAnsi" w:hAnsiTheme="minorHAnsi" w:cstheme="minorHAnsi"/>
                <w:lang w:val="en-US"/>
              </w:rPr>
              <w:t>Platform Design, Prototype, Development &amp; Testing</w:t>
            </w:r>
          </w:p>
        </w:tc>
        <w:tc>
          <w:tcPr>
            <w:tcW w:w="0" w:type="auto"/>
          </w:tcPr>
          <w:p w14:paraId="314D47F8" w14:textId="22903DB6" w:rsidR="00516483" w:rsidRPr="00516483" w:rsidRDefault="00516483" w:rsidP="00516483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16483" w:rsidRPr="00516483" w14:paraId="1A6CDEE6" w14:textId="77777777" w:rsidTr="00FB7F15">
        <w:tc>
          <w:tcPr>
            <w:tcW w:w="0" w:type="auto"/>
            <w:hideMark/>
          </w:tcPr>
          <w:p w14:paraId="2247B6A2" w14:textId="77777777" w:rsidR="00516483" w:rsidRPr="00516483" w:rsidRDefault="00516483" w:rsidP="00516483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516483">
              <w:rPr>
                <w:rFonts w:asciiTheme="minorHAnsi" w:hAnsiTheme="minorHAnsi" w:cstheme="minorHAnsi"/>
                <w:lang w:val="en-US"/>
              </w:rPr>
              <w:t>Training &amp; Documentation</w:t>
            </w:r>
          </w:p>
        </w:tc>
        <w:tc>
          <w:tcPr>
            <w:tcW w:w="0" w:type="auto"/>
          </w:tcPr>
          <w:p w14:paraId="34361914" w14:textId="129C3FAB" w:rsidR="00516483" w:rsidRPr="00516483" w:rsidRDefault="00516483" w:rsidP="00516483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16483" w:rsidRPr="00516483" w14:paraId="5B1060F7" w14:textId="77777777" w:rsidTr="00FB7F15">
        <w:tc>
          <w:tcPr>
            <w:tcW w:w="0" w:type="auto"/>
            <w:hideMark/>
          </w:tcPr>
          <w:p w14:paraId="5DAFCDBB" w14:textId="77777777" w:rsidR="00516483" w:rsidRPr="00516483" w:rsidRDefault="00516483" w:rsidP="00516483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516483">
              <w:rPr>
                <w:rFonts w:asciiTheme="minorHAnsi" w:hAnsiTheme="minorHAnsi" w:cstheme="minorHAnsi"/>
                <w:lang w:val="en-US"/>
              </w:rPr>
              <w:t>5-year subscription charges for hosting and maintenance</w:t>
            </w:r>
          </w:p>
        </w:tc>
        <w:tc>
          <w:tcPr>
            <w:tcW w:w="0" w:type="auto"/>
          </w:tcPr>
          <w:p w14:paraId="3C747745" w14:textId="0F4340B7" w:rsidR="00516483" w:rsidRPr="00516483" w:rsidRDefault="00516483" w:rsidP="00516483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16483" w:rsidRPr="00516483" w14:paraId="607ED987" w14:textId="77777777" w:rsidTr="00516483">
        <w:tc>
          <w:tcPr>
            <w:tcW w:w="0" w:type="auto"/>
            <w:hideMark/>
          </w:tcPr>
          <w:p w14:paraId="1E64C7D6" w14:textId="77777777" w:rsidR="00516483" w:rsidRPr="00516483" w:rsidRDefault="00516483" w:rsidP="00516483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516483">
              <w:rPr>
                <w:rFonts w:asciiTheme="minorHAnsi" w:hAnsiTheme="minorHAnsi" w:cstheme="minorHAnsi"/>
                <w:lang w:val="en-US"/>
              </w:rPr>
              <w:t>Final Report/System Guideline &amp; Handover</w:t>
            </w:r>
          </w:p>
        </w:tc>
        <w:tc>
          <w:tcPr>
            <w:tcW w:w="0" w:type="auto"/>
            <w:hideMark/>
          </w:tcPr>
          <w:p w14:paraId="1B5329FF" w14:textId="77777777" w:rsidR="00516483" w:rsidRPr="00516483" w:rsidRDefault="00516483" w:rsidP="00516483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516483">
              <w:rPr>
                <w:rFonts w:asciiTheme="minorHAnsi" w:hAnsiTheme="minorHAnsi" w:cstheme="minorHAnsi"/>
                <w:lang w:val="en-US"/>
              </w:rPr>
              <w:t>TBD</w:t>
            </w:r>
          </w:p>
        </w:tc>
      </w:tr>
      <w:tr w:rsidR="00516483" w:rsidRPr="00516483" w14:paraId="25CC7B5A" w14:textId="77777777" w:rsidTr="00516483">
        <w:tc>
          <w:tcPr>
            <w:tcW w:w="0" w:type="auto"/>
            <w:hideMark/>
          </w:tcPr>
          <w:p w14:paraId="7D6BEB3A" w14:textId="77777777" w:rsidR="00516483" w:rsidRPr="00516483" w:rsidRDefault="00516483" w:rsidP="00516483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516483">
              <w:rPr>
                <w:rFonts w:asciiTheme="minorHAnsi" w:hAnsiTheme="minorHAnsi" w:cstheme="minorHAnsi"/>
                <w:b/>
                <w:bCs/>
                <w:lang w:val="en-US"/>
              </w:rPr>
              <w:t>Total Estimated Budget</w:t>
            </w:r>
          </w:p>
        </w:tc>
        <w:tc>
          <w:tcPr>
            <w:tcW w:w="0" w:type="auto"/>
            <w:hideMark/>
          </w:tcPr>
          <w:p w14:paraId="302C1272" w14:textId="77777777" w:rsidR="00516483" w:rsidRPr="00516483" w:rsidRDefault="00516483" w:rsidP="00516483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516483">
              <w:rPr>
                <w:rFonts w:asciiTheme="minorHAnsi" w:hAnsiTheme="minorHAnsi" w:cstheme="minorHAnsi"/>
                <w:lang w:val="en-US"/>
              </w:rPr>
              <w:t>TBD</w:t>
            </w:r>
          </w:p>
        </w:tc>
      </w:tr>
    </w:tbl>
    <w:p w14:paraId="1176457C" w14:textId="77777777" w:rsidR="00516483" w:rsidRPr="00516483" w:rsidRDefault="00516483" w:rsidP="00516483">
      <w:pPr>
        <w:spacing w:line="276" w:lineRule="auto"/>
        <w:jc w:val="both"/>
        <w:rPr>
          <w:rFonts w:asciiTheme="minorHAnsi" w:hAnsiTheme="minorHAnsi" w:cstheme="minorHAnsi"/>
        </w:rPr>
      </w:pPr>
    </w:p>
    <w:sectPr w:rsidR="00516483" w:rsidRPr="0051648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84071" w14:textId="77777777" w:rsidR="00C229BE" w:rsidRDefault="00C229BE" w:rsidP="00516483">
      <w:r>
        <w:separator/>
      </w:r>
    </w:p>
  </w:endnote>
  <w:endnote w:type="continuationSeparator" w:id="0">
    <w:p w14:paraId="24B27ACD" w14:textId="77777777" w:rsidR="00C229BE" w:rsidRDefault="00C229BE" w:rsidP="0051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96974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356D8F" w14:textId="3FF7B564" w:rsidR="00516483" w:rsidRDefault="005164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BAF2C6" w14:textId="77777777" w:rsidR="00516483" w:rsidRDefault="00516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C129A" w14:textId="77777777" w:rsidR="00C229BE" w:rsidRDefault="00C229BE" w:rsidP="00516483">
      <w:r>
        <w:separator/>
      </w:r>
    </w:p>
  </w:footnote>
  <w:footnote w:type="continuationSeparator" w:id="0">
    <w:p w14:paraId="5394A3C3" w14:textId="77777777" w:rsidR="00C229BE" w:rsidRDefault="00C229BE" w:rsidP="00516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205A0"/>
    <w:multiLevelType w:val="multilevel"/>
    <w:tmpl w:val="01A6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9C2148"/>
    <w:multiLevelType w:val="multilevel"/>
    <w:tmpl w:val="1A9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515B0D"/>
    <w:multiLevelType w:val="multilevel"/>
    <w:tmpl w:val="B884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F0932"/>
    <w:multiLevelType w:val="multilevel"/>
    <w:tmpl w:val="DE82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27661F"/>
    <w:multiLevelType w:val="multilevel"/>
    <w:tmpl w:val="19A6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536D03"/>
    <w:multiLevelType w:val="multilevel"/>
    <w:tmpl w:val="9F6C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6A42EC"/>
    <w:multiLevelType w:val="multilevel"/>
    <w:tmpl w:val="40486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83"/>
    <w:rsid w:val="0003504D"/>
    <w:rsid w:val="00102881"/>
    <w:rsid w:val="0029678B"/>
    <w:rsid w:val="00301725"/>
    <w:rsid w:val="003F6CC4"/>
    <w:rsid w:val="00516483"/>
    <w:rsid w:val="007A35D2"/>
    <w:rsid w:val="0080372C"/>
    <w:rsid w:val="0098772D"/>
    <w:rsid w:val="009B236B"/>
    <w:rsid w:val="00A50138"/>
    <w:rsid w:val="00B50740"/>
    <w:rsid w:val="00C229BE"/>
    <w:rsid w:val="00CA7B59"/>
    <w:rsid w:val="00ED427E"/>
    <w:rsid w:val="00EF2945"/>
    <w:rsid w:val="00FB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1716B"/>
  <w15:chartTrackingRefBased/>
  <w15:docId w15:val="{A1B8B800-C647-4C54-94D7-2BAD0890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6483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4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4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4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4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4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4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4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4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4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4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4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4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48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16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64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483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164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483"/>
    <w:rPr>
      <w:rFonts w:ascii="Times New Roman" w:eastAsia="Times New Roman" w:hAnsi="Times New Roman" w:cs="Times New Roman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 Aden</dc:creator>
  <cp:keywords/>
  <dc:description/>
  <cp:lastModifiedBy>LENOVO</cp:lastModifiedBy>
  <cp:revision>3</cp:revision>
  <dcterms:created xsi:type="dcterms:W3CDTF">2025-11-15T08:05:00Z</dcterms:created>
  <dcterms:modified xsi:type="dcterms:W3CDTF">2025-12-25T07:59:00Z</dcterms:modified>
</cp:coreProperties>
</file>