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67081" w14:textId="77777777" w:rsidR="000E115F" w:rsidRDefault="000E115F" w:rsidP="00256316">
      <w:pPr>
        <w:rPr>
          <w:b/>
          <w:bCs/>
        </w:rPr>
      </w:pPr>
    </w:p>
    <w:p w14:paraId="3EB36AA3" w14:textId="3E0E4134" w:rsidR="00256316" w:rsidRDefault="000E115F" w:rsidP="000E115F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2F983012" wp14:editId="658AD17A">
            <wp:extent cx="2177142" cy="537882"/>
            <wp:effectExtent l="0" t="0" r="0" b="0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5668C0E0-D17B-444F-93A1-42CC887BC6E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5668C0E0-D17B-444F-93A1-42CC887BC6E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83722" cy="539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054BD" w14:textId="7585280E" w:rsidR="00256316" w:rsidRPr="00256316" w:rsidRDefault="00DC553B" w:rsidP="00DC5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  <w:r w:rsidRPr="00256316">
        <w:rPr>
          <w:b/>
          <w:bCs/>
          <w:sz w:val="32"/>
          <w:szCs w:val="32"/>
        </w:rPr>
        <w:t xml:space="preserve">INVITATION TO </w:t>
      </w:r>
      <w:proofErr w:type="gramStart"/>
      <w:r w:rsidRPr="00256316">
        <w:rPr>
          <w:b/>
          <w:bCs/>
          <w:sz w:val="32"/>
          <w:szCs w:val="32"/>
        </w:rPr>
        <w:t>BID :</w:t>
      </w:r>
      <w:proofErr w:type="gramEnd"/>
      <w:r w:rsidRPr="00256316">
        <w:rPr>
          <w:b/>
          <w:bCs/>
          <w:sz w:val="32"/>
          <w:szCs w:val="32"/>
        </w:rPr>
        <w:t xml:space="preserve"> FRAMEWORK AGREEMENT FOR MOBILE MONEY TRANSFER SERVICES</w:t>
      </w:r>
    </w:p>
    <w:tbl>
      <w:tblPr>
        <w:tblStyle w:val="TableGrid"/>
        <w:tblW w:w="9540" w:type="dxa"/>
        <w:tblInd w:w="-95" w:type="dxa"/>
        <w:tblLook w:val="04A0" w:firstRow="1" w:lastRow="0" w:firstColumn="1" w:lastColumn="0" w:noHBand="0" w:noVBand="1"/>
      </w:tblPr>
      <w:tblGrid>
        <w:gridCol w:w="1913"/>
        <w:gridCol w:w="2880"/>
        <w:gridCol w:w="1797"/>
        <w:gridCol w:w="2950"/>
      </w:tblGrid>
      <w:tr w:rsidR="00256316" w:rsidRPr="00B45714" w14:paraId="50C04722" w14:textId="77777777" w:rsidTr="00EE3531">
        <w:tc>
          <w:tcPr>
            <w:tcW w:w="1913" w:type="dxa"/>
          </w:tcPr>
          <w:p w14:paraId="05B74749" w14:textId="744714D6" w:rsidR="00256316" w:rsidRPr="00B45714" w:rsidRDefault="00256316" w:rsidP="00256316">
            <w:pPr>
              <w:rPr>
                <w:b/>
                <w:bCs/>
              </w:rPr>
            </w:pPr>
            <w:r w:rsidRPr="00B45714">
              <w:rPr>
                <w:b/>
                <w:bCs/>
              </w:rPr>
              <w:t>C</w:t>
            </w:r>
            <w:r w:rsidRPr="00256316">
              <w:rPr>
                <w:b/>
                <w:bCs/>
              </w:rPr>
              <w:t>ompany Name:</w:t>
            </w:r>
          </w:p>
        </w:tc>
        <w:tc>
          <w:tcPr>
            <w:tcW w:w="7627" w:type="dxa"/>
            <w:gridSpan w:val="3"/>
          </w:tcPr>
          <w:p w14:paraId="2BC21DCE" w14:textId="77777777" w:rsidR="00256316" w:rsidRPr="00B45714" w:rsidRDefault="00256316" w:rsidP="00256316">
            <w:pPr>
              <w:rPr>
                <w:b/>
                <w:bCs/>
              </w:rPr>
            </w:pPr>
          </w:p>
          <w:p w14:paraId="5DC7B038" w14:textId="77777777" w:rsidR="00B45714" w:rsidRPr="00B45714" w:rsidRDefault="00B45714" w:rsidP="00256316">
            <w:pPr>
              <w:rPr>
                <w:b/>
                <w:bCs/>
              </w:rPr>
            </w:pPr>
          </w:p>
        </w:tc>
      </w:tr>
      <w:tr w:rsidR="00256316" w:rsidRPr="00B45714" w14:paraId="1DB7F604" w14:textId="77777777" w:rsidTr="00EE3531">
        <w:tc>
          <w:tcPr>
            <w:tcW w:w="1913" w:type="dxa"/>
          </w:tcPr>
          <w:p w14:paraId="7B75C7AD" w14:textId="4BC86CC6" w:rsidR="00256316" w:rsidRPr="00B45714" w:rsidRDefault="00256316" w:rsidP="00256316">
            <w:pPr>
              <w:jc w:val="right"/>
              <w:rPr>
                <w:b/>
                <w:bCs/>
              </w:rPr>
            </w:pPr>
            <w:r w:rsidRPr="00256316">
              <w:rPr>
                <w:b/>
                <w:bCs/>
              </w:rPr>
              <w:t>Cell Phone:</w:t>
            </w:r>
          </w:p>
        </w:tc>
        <w:tc>
          <w:tcPr>
            <w:tcW w:w="2880" w:type="dxa"/>
          </w:tcPr>
          <w:p w14:paraId="402E14F1" w14:textId="77777777" w:rsidR="00256316" w:rsidRPr="00B45714" w:rsidRDefault="00256316" w:rsidP="00256316">
            <w:pPr>
              <w:rPr>
                <w:b/>
                <w:bCs/>
              </w:rPr>
            </w:pPr>
          </w:p>
          <w:p w14:paraId="707A405D" w14:textId="77777777" w:rsidR="00B45714" w:rsidRPr="00B45714" w:rsidRDefault="00B45714" w:rsidP="00256316">
            <w:pPr>
              <w:rPr>
                <w:b/>
                <w:bCs/>
              </w:rPr>
            </w:pPr>
          </w:p>
        </w:tc>
        <w:tc>
          <w:tcPr>
            <w:tcW w:w="1797" w:type="dxa"/>
          </w:tcPr>
          <w:p w14:paraId="1D042E31" w14:textId="2F0D8306" w:rsidR="00256316" w:rsidRPr="00B45714" w:rsidRDefault="00256316" w:rsidP="00256316">
            <w:pPr>
              <w:jc w:val="right"/>
              <w:rPr>
                <w:b/>
                <w:bCs/>
              </w:rPr>
            </w:pPr>
            <w:r w:rsidRPr="00B45714">
              <w:rPr>
                <w:b/>
                <w:bCs/>
              </w:rPr>
              <w:t>E-mail</w:t>
            </w:r>
          </w:p>
        </w:tc>
        <w:tc>
          <w:tcPr>
            <w:tcW w:w="2950" w:type="dxa"/>
          </w:tcPr>
          <w:p w14:paraId="446CD1C3" w14:textId="77777777" w:rsidR="00256316" w:rsidRPr="00B45714" w:rsidRDefault="00256316" w:rsidP="00256316">
            <w:pPr>
              <w:rPr>
                <w:b/>
                <w:bCs/>
              </w:rPr>
            </w:pPr>
          </w:p>
        </w:tc>
      </w:tr>
      <w:tr w:rsidR="00256316" w:rsidRPr="00B45714" w14:paraId="7B33BA28" w14:textId="77777777" w:rsidTr="00EE3531">
        <w:tc>
          <w:tcPr>
            <w:tcW w:w="1913" w:type="dxa"/>
          </w:tcPr>
          <w:p w14:paraId="706F6D5B" w14:textId="4129EE30" w:rsidR="00256316" w:rsidRPr="00256316" w:rsidRDefault="00256316" w:rsidP="00256316">
            <w:pPr>
              <w:spacing w:after="200" w:line="276" w:lineRule="auto"/>
              <w:jc w:val="right"/>
              <w:rPr>
                <w:b/>
                <w:bCs/>
              </w:rPr>
            </w:pPr>
            <w:r w:rsidRPr="00256316">
              <w:rPr>
                <w:b/>
                <w:bCs/>
              </w:rPr>
              <w:t>Reference No</w:t>
            </w:r>
          </w:p>
          <w:p w14:paraId="3565B891" w14:textId="77777777" w:rsidR="00256316" w:rsidRPr="00B45714" w:rsidRDefault="00256316" w:rsidP="00256316">
            <w:pPr>
              <w:rPr>
                <w:b/>
                <w:bCs/>
              </w:rPr>
            </w:pPr>
          </w:p>
        </w:tc>
        <w:tc>
          <w:tcPr>
            <w:tcW w:w="2880" w:type="dxa"/>
          </w:tcPr>
          <w:p w14:paraId="1A666699" w14:textId="6A4F868A" w:rsidR="00256316" w:rsidRPr="00B45714" w:rsidRDefault="00256316" w:rsidP="00256316">
            <w:pPr>
              <w:rPr>
                <w:b/>
                <w:bCs/>
              </w:rPr>
            </w:pPr>
            <w:r w:rsidRPr="00256316">
              <w:rPr>
                <w:b/>
                <w:bCs/>
              </w:rPr>
              <w:t>YP-SOM/</w:t>
            </w:r>
            <w:r w:rsidR="003D7A07">
              <w:rPr>
                <w:b/>
                <w:bCs/>
              </w:rPr>
              <w:t>656</w:t>
            </w:r>
            <w:r w:rsidRPr="00256316">
              <w:rPr>
                <w:b/>
                <w:bCs/>
              </w:rPr>
              <w:t>/2026/01</w:t>
            </w:r>
          </w:p>
        </w:tc>
        <w:tc>
          <w:tcPr>
            <w:tcW w:w="1797" w:type="dxa"/>
          </w:tcPr>
          <w:p w14:paraId="32B5B7DD" w14:textId="3A9B497E" w:rsidR="00A81924" w:rsidRDefault="00A81924" w:rsidP="00A8192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Start date </w:t>
            </w:r>
          </w:p>
          <w:p w14:paraId="657ABFD7" w14:textId="35E5247E" w:rsidR="00256316" w:rsidRPr="00B45714" w:rsidRDefault="00256316" w:rsidP="00256316">
            <w:pPr>
              <w:jc w:val="right"/>
              <w:rPr>
                <w:b/>
                <w:bCs/>
              </w:rPr>
            </w:pPr>
            <w:r w:rsidRPr="00256316">
              <w:rPr>
                <w:b/>
                <w:bCs/>
              </w:rPr>
              <w:t>Closing Deadline</w:t>
            </w:r>
          </w:p>
        </w:tc>
        <w:tc>
          <w:tcPr>
            <w:tcW w:w="2950" w:type="dxa"/>
          </w:tcPr>
          <w:p w14:paraId="4F6254B2" w14:textId="3E0A9998" w:rsidR="00256316" w:rsidRPr="00256316" w:rsidRDefault="00A81924" w:rsidP="00256316">
            <w:pPr>
              <w:spacing w:after="200"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2 Feb 2026                                 </w:t>
            </w:r>
            <w:r w:rsidR="00256316" w:rsidRPr="00256316">
              <w:rPr>
                <w:b/>
                <w:bCs/>
              </w:rPr>
              <w:t xml:space="preserve">20 </w:t>
            </w:r>
            <w:r w:rsidR="00B6717E">
              <w:rPr>
                <w:b/>
                <w:bCs/>
              </w:rPr>
              <w:t xml:space="preserve">Feb </w:t>
            </w:r>
            <w:r w:rsidR="00256316" w:rsidRPr="00256316">
              <w:rPr>
                <w:b/>
                <w:bCs/>
              </w:rPr>
              <w:t>2026 – 17:00 (EAT)</w:t>
            </w:r>
          </w:p>
          <w:p w14:paraId="311E8727" w14:textId="77777777" w:rsidR="00256316" w:rsidRPr="00B45714" w:rsidRDefault="00256316" w:rsidP="00256316">
            <w:pPr>
              <w:rPr>
                <w:b/>
                <w:bCs/>
              </w:rPr>
            </w:pPr>
          </w:p>
        </w:tc>
      </w:tr>
    </w:tbl>
    <w:p w14:paraId="1D0568F7" w14:textId="77777777" w:rsidR="00256316" w:rsidRDefault="00256316" w:rsidP="00256316">
      <w:pPr>
        <w:rPr>
          <w:b/>
          <w:bCs/>
        </w:rPr>
      </w:pPr>
    </w:p>
    <w:p w14:paraId="7FF9BB99" w14:textId="421AE664" w:rsidR="00256316" w:rsidRPr="00256316" w:rsidRDefault="00256316" w:rsidP="00516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</w:rPr>
      </w:pPr>
      <w:r w:rsidRPr="00256316">
        <w:rPr>
          <w:b/>
          <w:bCs/>
        </w:rPr>
        <w:t>Manner of Submission</w:t>
      </w:r>
    </w:p>
    <w:p w14:paraId="53D950C1" w14:textId="3B2CD959" w:rsidR="00256316" w:rsidRPr="00256316" w:rsidRDefault="00256316" w:rsidP="00516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256316">
        <w:t>All quotations/bids must be submitted electronically on or before the deadline above.</w:t>
      </w:r>
      <w:r>
        <w:t xml:space="preserve"> </w:t>
      </w:r>
      <w:r w:rsidRPr="00256316">
        <w:t>Bids should be submitted via email to:</w:t>
      </w:r>
      <w:r>
        <w:t xml:space="preserve"> </w:t>
      </w:r>
      <w:hyperlink r:id="rId8" w:history="1">
        <w:r w:rsidR="00EE3531" w:rsidRPr="00434040">
          <w:rPr>
            <w:rStyle w:val="Hyperlink"/>
            <w:b/>
            <w:bCs/>
          </w:rPr>
          <w:t>procurement@ypeerso.org</w:t>
        </w:r>
      </w:hyperlink>
    </w:p>
    <w:p w14:paraId="52FBE04B" w14:textId="77777777" w:rsidR="00256316" w:rsidRPr="00256316" w:rsidRDefault="00256316" w:rsidP="00516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256316">
        <w:t xml:space="preserve">In addition to submitting the bid documents, </w:t>
      </w:r>
      <w:r w:rsidRPr="00256316">
        <w:rPr>
          <w:b/>
          <w:bCs/>
        </w:rPr>
        <w:t>all bidders must complete the Y-PEER Somalia Supplier Registration Form using the following link:</w:t>
      </w:r>
    </w:p>
    <w:p w14:paraId="4185C25D" w14:textId="4FC6CA9F" w:rsidR="00256316" w:rsidRPr="00256316" w:rsidRDefault="00256316" w:rsidP="00516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256316">
        <w:rPr>
          <w:b/>
          <w:bCs/>
        </w:rPr>
        <w:t>Supplier Registration Form:</w:t>
      </w:r>
      <w:r>
        <w:rPr>
          <w:b/>
          <w:bCs/>
        </w:rPr>
        <w:t xml:space="preserve"> </w:t>
      </w:r>
      <w:r w:rsidRPr="00256316">
        <w:t>Offers transmitted in any other manner than those indicated above will not be considered.</w:t>
      </w:r>
    </w:p>
    <w:p w14:paraId="56A988FF" w14:textId="63DA4024" w:rsidR="0010679A" w:rsidRDefault="0010679A" w:rsidP="005163F2">
      <w:pPr>
        <w:spacing w:before="240"/>
        <w:rPr>
          <w:b/>
          <w:bCs/>
        </w:rPr>
      </w:pPr>
      <w:r>
        <w:rPr>
          <w:b/>
          <w:bCs/>
        </w:rPr>
        <w:t>Organizational Background</w:t>
      </w:r>
    </w:p>
    <w:p w14:paraId="6F75B74F" w14:textId="20830ECB" w:rsidR="0010679A" w:rsidRPr="00CD3A59" w:rsidRDefault="0010679A" w:rsidP="0010679A">
      <w:pPr>
        <w:jc w:val="both"/>
      </w:pPr>
      <w:r w:rsidRPr="00CD3A59">
        <w:t xml:space="preserve">Youth Peer Education Network (Y-PEER Somalia) is a </w:t>
      </w:r>
      <w:r>
        <w:t>national</w:t>
      </w:r>
      <w:r w:rsidRPr="00CD3A59">
        <w:t xml:space="preserve"> organization committed to empowering young people and strengthening vulnerable communities across Somalia. The organization implements programs focused on </w:t>
      </w:r>
      <w:r>
        <w:t xml:space="preserve">food security, livelihood, </w:t>
      </w:r>
      <w:r w:rsidRPr="00CD3A59">
        <w:t>health and nutrition, sexual and reproductive health, youth empowerment, and community resilience. Through partnerships with local communities, civil society organizations, government institutions, and development partners, Y-PEER Somalia works to improve access to essential services and create sustainable opportunities for youth and marginalized populations.</w:t>
      </w:r>
    </w:p>
    <w:p w14:paraId="12063522" w14:textId="7BA0D09D" w:rsidR="0010679A" w:rsidRPr="00CD3A59" w:rsidRDefault="0010679A" w:rsidP="0010679A">
      <w:pPr>
        <w:jc w:val="both"/>
      </w:pPr>
      <w:r w:rsidRPr="00CD3A59">
        <w:t xml:space="preserve">As part of its humanitarian and development programming, Y-PEER Somalia implements Cash </w:t>
      </w:r>
      <w:r>
        <w:t xml:space="preserve">based </w:t>
      </w:r>
      <w:r w:rsidRPr="00CD3A59">
        <w:t>interventions aimed at supporting vulnerable households and strengthening community resilience. These interventions include multi-purpose cash assistance, cash-for-work initiatives, conditional and unconditional cash transfers, and livelihood grants for youth and community groups. To facilitate the effective implementation of these programs, Y-PEER Somalia seeks to establish a Framework Agreement with qualified Mobile Money Transfer Service Providers capable of delivering secure, transparent, and efficient electronic cash transfers to project beneficiaries across target regions in Somalia.</w:t>
      </w:r>
    </w:p>
    <w:p w14:paraId="13310E54" w14:textId="3C679283" w:rsidR="0010679A" w:rsidRPr="00CD3A59" w:rsidRDefault="0010679A" w:rsidP="0010679A">
      <w:pPr>
        <w:rPr>
          <w:b/>
          <w:bCs/>
        </w:rPr>
      </w:pPr>
      <w:r w:rsidRPr="00CD3A59">
        <w:rPr>
          <w:b/>
          <w:bCs/>
        </w:rPr>
        <w:t xml:space="preserve">2. Purpose of the </w:t>
      </w:r>
      <w:r>
        <w:rPr>
          <w:b/>
          <w:bCs/>
        </w:rPr>
        <w:t>Bid</w:t>
      </w:r>
    </w:p>
    <w:p w14:paraId="5BFF7019" w14:textId="77777777" w:rsidR="0010679A" w:rsidRPr="00CD3A59" w:rsidRDefault="0010679A" w:rsidP="0010679A">
      <w:r w:rsidRPr="00CD3A59">
        <w:lastRenderedPageBreak/>
        <w:t>The purpose of this Call for Proposals (CFP) is to identify and pre-qualify mobile money transfer service providers capable of delivering secure, reliable, and transparent electronic cash transfer services to program beneficiaries.</w:t>
      </w:r>
    </w:p>
    <w:p w14:paraId="717C6923" w14:textId="77777777" w:rsidR="0010679A" w:rsidRPr="00CD3A59" w:rsidRDefault="0010679A" w:rsidP="0010679A">
      <w:r w:rsidRPr="00CD3A59">
        <w:t>The selected companies will enter into a Framework Agreement with Y-PEER Somalia to facilitate mobile money payments across program locations.</w:t>
      </w:r>
    </w:p>
    <w:p w14:paraId="4CDA5FCC" w14:textId="77777777" w:rsidR="0010679A" w:rsidRPr="00CD3A59" w:rsidRDefault="0010679A" w:rsidP="0010679A">
      <w:pPr>
        <w:rPr>
          <w:b/>
          <w:bCs/>
        </w:rPr>
      </w:pPr>
      <w:r w:rsidRPr="00CD3A59">
        <w:rPr>
          <w:b/>
          <w:bCs/>
        </w:rPr>
        <w:t>3. Scope of Services</w:t>
      </w:r>
    </w:p>
    <w:p w14:paraId="7099E727" w14:textId="77777777" w:rsidR="0010679A" w:rsidRPr="00CD3A59" w:rsidRDefault="0010679A" w:rsidP="0010679A">
      <w:r w:rsidRPr="00CD3A59">
        <w:t>The selected service provider will facilitate electronic transfer of funds to project beneficiaries through mobile money platforms.</w:t>
      </w:r>
    </w:p>
    <w:p w14:paraId="1DCC8C31" w14:textId="4F8AFA11" w:rsidR="0010679A" w:rsidRPr="00CD3A59" w:rsidRDefault="0010679A" w:rsidP="0010679A">
      <w:pPr>
        <w:rPr>
          <w:b/>
          <w:bCs/>
        </w:rPr>
      </w:pPr>
      <w:r w:rsidRPr="00CD3A59">
        <w:rPr>
          <w:b/>
          <w:bCs/>
        </w:rPr>
        <w:t>Cash Transfer Services</w:t>
      </w:r>
    </w:p>
    <w:p w14:paraId="4B2AE900" w14:textId="77777777" w:rsidR="0010679A" w:rsidRPr="00CD3A59" w:rsidRDefault="0010679A" w:rsidP="0010679A">
      <w:r w:rsidRPr="00CD3A59">
        <w:t>The service provider shall:</w:t>
      </w:r>
    </w:p>
    <w:p w14:paraId="48397D7D" w14:textId="77777777" w:rsidR="0010679A" w:rsidRPr="00CD3A59" w:rsidRDefault="0010679A" w:rsidP="0010679A">
      <w:pPr>
        <w:pStyle w:val="ListParagraph"/>
        <w:numPr>
          <w:ilvl w:val="0"/>
          <w:numId w:val="12"/>
        </w:numPr>
        <w:spacing w:after="160" w:line="278" w:lineRule="auto"/>
      </w:pPr>
      <w:r w:rsidRPr="00CD3A59">
        <w:t>Process bulk mobile money transfers to beneficiaries</w:t>
      </w:r>
    </w:p>
    <w:p w14:paraId="6090121A" w14:textId="77777777" w:rsidR="0010679A" w:rsidRPr="00CD3A59" w:rsidRDefault="0010679A" w:rsidP="0010679A">
      <w:pPr>
        <w:pStyle w:val="ListParagraph"/>
        <w:numPr>
          <w:ilvl w:val="0"/>
          <w:numId w:val="12"/>
        </w:numPr>
        <w:spacing w:after="160" w:line="278" w:lineRule="auto"/>
      </w:pPr>
      <w:r w:rsidRPr="00CD3A59">
        <w:t>Ensure timely and secure delivery of payments</w:t>
      </w:r>
    </w:p>
    <w:p w14:paraId="12136CA7" w14:textId="77777777" w:rsidR="0010679A" w:rsidRPr="00CD3A59" w:rsidRDefault="0010679A" w:rsidP="0010679A">
      <w:pPr>
        <w:pStyle w:val="ListParagraph"/>
        <w:numPr>
          <w:ilvl w:val="0"/>
          <w:numId w:val="12"/>
        </w:numPr>
        <w:spacing w:after="160" w:line="278" w:lineRule="auto"/>
      </w:pPr>
      <w:r w:rsidRPr="00CD3A59">
        <w:t>Provide transaction confirmation for each payment</w:t>
      </w:r>
    </w:p>
    <w:p w14:paraId="0E3C0A27" w14:textId="77777777" w:rsidR="0010679A" w:rsidRPr="00CD3A59" w:rsidRDefault="0010679A" w:rsidP="0010679A">
      <w:pPr>
        <w:pStyle w:val="ListParagraph"/>
        <w:numPr>
          <w:ilvl w:val="0"/>
          <w:numId w:val="12"/>
        </w:numPr>
        <w:spacing w:after="160" w:line="278" w:lineRule="auto"/>
      </w:pPr>
      <w:r w:rsidRPr="00CD3A59">
        <w:t>Support large-scale humanitarian cash assistance programs</w:t>
      </w:r>
    </w:p>
    <w:p w14:paraId="305E3896" w14:textId="0A729157" w:rsidR="0010679A" w:rsidRPr="00CD3A59" w:rsidRDefault="0010679A" w:rsidP="0010679A">
      <w:pPr>
        <w:rPr>
          <w:b/>
          <w:bCs/>
        </w:rPr>
      </w:pPr>
      <w:r w:rsidRPr="00CD3A59">
        <w:rPr>
          <w:b/>
          <w:bCs/>
        </w:rPr>
        <w:t>Beneficiary Payment Services</w:t>
      </w:r>
    </w:p>
    <w:p w14:paraId="29AD91BC" w14:textId="77777777" w:rsidR="0010679A" w:rsidRPr="00CD3A59" w:rsidRDefault="0010679A" w:rsidP="0010679A">
      <w:r w:rsidRPr="00CD3A59">
        <w:t>The provider must:</w:t>
      </w:r>
    </w:p>
    <w:p w14:paraId="02BC9877" w14:textId="77777777" w:rsidR="0010679A" w:rsidRPr="00CD3A59" w:rsidRDefault="0010679A" w:rsidP="0010679A">
      <w:pPr>
        <w:pStyle w:val="ListParagraph"/>
        <w:numPr>
          <w:ilvl w:val="0"/>
          <w:numId w:val="13"/>
        </w:numPr>
        <w:spacing w:after="160" w:line="278" w:lineRule="auto"/>
      </w:pPr>
      <w:r w:rsidRPr="00CD3A59">
        <w:t>Transfer funds directly to beneficiaries’ mobile wallets</w:t>
      </w:r>
    </w:p>
    <w:p w14:paraId="1831C56E" w14:textId="77777777" w:rsidR="0010679A" w:rsidRDefault="0010679A" w:rsidP="0010679A">
      <w:pPr>
        <w:pStyle w:val="ListParagraph"/>
        <w:numPr>
          <w:ilvl w:val="0"/>
          <w:numId w:val="13"/>
        </w:numPr>
        <w:spacing w:after="160" w:line="278" w:lineRule="auto"/>
      </w:pPr>
      <w:r>
        <w:t>Deliver SIM Cards to the beneficiaries when and where the need arises</w:t>
      </w:r>
    </w:p>
    <w:p w14:paraId="486FC948" w14:textId="77777777" w:rsidR="0010679A" w:rsidRPr="00CD3A59" w:rsidRDefault="0010679A" w:rsidP="0010679A">
      <w:pPr>
        <w:pStyle w:val="ListParagraph"/>
        <w:numPr>
          <w:ilvl w:val="0"/>
          <w:numId w:val="13"/>
        </w:numPr>
        <w:spacing w:after="160" w:line="278" w:lineRule="auto"/>
      </w:pPr>
      <w:r w:rsidRPr="00CD3A59">
        <w:t>Provide SMS notifications confirming payment</w:t>
      </w:r>
    </w:p>
    <w:p w14:paraId="0389A21B" w14:textId="77777777" w:rsidR="0010679A" w:rsidRPr="00CD3A59" w:rsidRDefault="0010679A" w:rsidP="0010679A">
      <w:pPr>
        <w:pStyle w:val="ListParagraph"/>
        <w:numPr>
          <w:ilvl w:val="0"/>
          <w:numId w:val="13"/>
        </w:numPr>
        <w:spacing w:after="160" w:line="278" w:lineRule="auto"/>
      </w:pPr>
      <w:r w:rsidRPr="00CD3A59">
        <w:t>Ensure reliable payment delivery across multiple regions</w:t>
      </w:r>
    </w:p>
    <w:p w14:paraId="521C9C35" w14:textId="4430A68C" w:rsidR="0010679A" w:rsidRPr="00CD3A59" w:rsidRDefault="0010679A" w:rsidP="0010679A">
      <w:pPr>
        <w:rPr>
          <w:b/>
          <w:bCs/>
        </w:rPr>
      </w:pPr>
      <w:r w:rsidRPr="00CD3A59">
        <w:rPr>
          <w:b/>
          <w:bCs/>
        </w:rPr>
        <w:t>Reporting and Reconciliation</w:t>
      </w:r>
    </w:p>
    <w:p w14:paraId="2EA17226" w14:textId="77777777" w:rsidR="0010679A" w:rsidRPr="00CD3A59" w:rsidRDefault="0010679A" w:rsidP="0010679A">
      <w:r w:rsidRPr="00CD3A59">
        <w:t>The service provider must provide:</w:t>
      </w:r>
    </w:p>
    <w:p w14:paraId="02A4EDEE" w14:textId="77777777" w:rsidR="0010679A" w:rsidRPr="00CD3A59" w:rsidRDefault="0010679A" w:rsidP="0010679A">
      <w:pPr>
        <w:pStyle w:val="ListParagraph"/>
        <w:numPr>
          <w:ilvl w:val="0"/>
          <w:numId w:val="14"/>
        </w:numPr>
        <w:spacing w:after="160" w:line="278" w:lineRule="auto"/>
      </w:pPr>
      <w:r w:rsidRPr="00CD3A59">
        <w:t>Beneficiary payment reports</w:t>
      </w:r>
    </w:p>
    <w:p w14:paraId="0C4879F0" w14:textId="77777777" w:rsidR="0010679A" w:rsidRPr="00CD3A59" w:rsidRDefault="0010679A" w:rsidP="0010679A">
      <w:pPr>
        <w:pStyle w:val="ListParagraph"/>
        <w:numPr>
          <w:ilvl w:val="0"/>
          <w:numId w:val="14"/>
        </w:numPr>
        <w:spacing w:after="160" w:line="278" w:lineRule="auto"/>
      </w:pPr>
      <w:r w:rsidRPr="00CD3A59">
        <w:t>Transaction status reports</w:t>
      </w:r>
    </w:p>
    <w:p w14:paraId="537AA1B0" w14:textId="77777777" w:rsidR="0010679A" w:rsidRPr="00CD3A59" w:rsidRDefault="0010679A" w:rsidP="0010679A">
      <w:pPr>
        <w:pStyle w:val="ListParagraph"/>
        <w:numPr>
          <w:ilvl w:val="0"/>
          <w:numId w:val="14"/>
        </w:numPr>
        <w:spacing w:after="160" w:line="278" w:lineRule="auto"/>
      </w:pPr>
      <w:r w:rsidRPr="00CD3A59">
        <w:t>Payment reconciliation reports</w:t>
      </w:r>
    </w:p>
    <w:p w14:paraId="2299C1EF" w14:textId="77777777" w:rsidR="0010679A" w:rsidRPr="00CD3A59" w:rsidRDefault="0010679A" w:rsidP="0010679A">
      <w:pPr>
        <w:pStyle w:val="ListParagraph"/>
        <w:numPr>
          <w:ilvl w:val="0"/>
          <w:numId w:val="14"/>
        </w:numPr>
        <w:spacing w:after="160" w:line="278" w:lineRule="auto"/>
      </w:pPr>
      <w:r w:rsidRPr="00CD3A59">
        <w:t>Failed or reversed transaction reports</w:t>
      </w:r>
    </w:p>
    <w:p w14:paraId="7FB1B2AE" w14:textId="77777777" w:rsidR="0010679A" w:rsidRPr="00CD3A59" w:rsidRDefault="0010679A" w:rsidP="0010679A">
      <w:r w:rsidRPr="00CD3A59">
        <w:t>Each report should include:</w:t>
      </w:r>
    </w:p>
    <w:p w14:paraId="5F20BAA4" w14:textId="77777777" w:rsidR="0010679A" w:rsidRPr="00CD3A59" w:rsidRDefault="0010679A" w:rsidP="0010679A">
      <w:pPr>
        <w:pStyle w:val="ListParagraph"/>
        <w:numPr>
          <w:ilvl w:val="0"/>
          <w:numId w:val="15"/>
        </w:numPr>
        <w:spacing w:after="160" w:line="278" w:lineRule="auto"/>
      </w:pPr>
      <w:r w:rsidRPr="00CD3A59">
        <w:t>Beneficiary name</w:t>
      </w:r>
    </w:p>
    <w:p w14:paraId="05A5021E" w14:textId="77777777" w:rsidR="0010679A" w:rsidRPr="00CD3A59" w:rsidRDefault="0010679A" w:rsidP="0010679A">
      <w:pPr>
        <w:pStyle w:val="ListParagraph"/>
        <w:numPr>
          <w:ilvl w:val="0"/>
          <w:numId w:val="15"/>
        </w:numPr>
        <w:spacing w:after="160" w:line="278" w:lineRule="auto"/>
      </w:pPr>
      <w:r w:rsidRPr="00CD3A59">
        <w:t>Mobile number</w:t>
      </w:r>
    </w:p>
    <w:p w14:paraId="264EF8E4" w14:textId="77777777" w:rsidR="0010679A" w:rsidRPr="00CD3A59" w:rsidRDefault="0010679A" w:rsidP="0010679A">
      <w:pPr>
        <w:pStyle w:val="ListParagraph"/>
        <w:numPr>
          <w:ilvl w:val="0"/>
          <w:numId w:val="15"/>
        </w:numPr>
        <w:spacing w:after="160" w:line="278" w:lineRule="auto"/>
      </w:pPr>
      <w:r w:rsidRPr="00CD3A59">
        <w:t>Amount transferred</w:t>
      </w:r>
    </w:p>
    <w:p w14:paraId="3EAEFAF3" w14:textId="77777777" w:rsidR="0010679A" w:rsidRPr="00CD3A59" w:rsidRDefault="0010679A" w:rsidP="0010679A">
      <w:pPr>
        <w:pStyle w:val="ListParagraph"/>
        <w:numPr>
          <w:ilvl w:val="0"/>
          <w:numId w:val="15"/>
        </w:numPr>
        <w:spacing w:after="160" w:line="278" w:lineRule="auto"/>
      </w:pPr>
      <w:r w:rsidRPr="00CD3A59">
        <w:t>Transaction reference number</w:t>
      </w:r>
    </w:p>
    <w:p w14:paraId="59DE17FD" w14:textId="77777777" w:rsidR="0010679A" w:rsidRPr="00CD3A59" w:rsidRDefault="0010679A" w:rsidP="0010679A">
      <w:pPr>
        <w:pStyle w:val="ListParagraph"/>
        <w:numPr>
          <w:ilvl w:val="0"/>
          <w:numId w:val="15"/>
        </w:numPr>
        <w:spacing w:after="160" w:line="278" w:lineRule="auto"/>
      </w:pPr>
      <w:r w:rsidRPr="00CD3A59">
        <w:t>Transaction date</w:t>
      </w:r>
    </w:p>
    <w:p w14:paraId="384B2B57" w14:textId="77777777" w:rsidR="0010679A" w:rsidRPr="00CD3A59" w:rsidRDefault="0010679A" w:rsidP="0010679A">
      <w:pPr>
        <w:pStyle w:val="ListParagraph"/>
        <w:numPr>
          <w:ilvl w:val="0"/>
          <w:numId w:val="15"/>
        </w:numPr>
        <w:spacing w:after="160" w:line="278" w:lineRule="auto"/>
      </w:pPr>
      <w:r w:rsidRPr="00CD3A59">
        <w:t>Payment status</w:t>
      </w:r>
    </w:p>
    <w:p w14:paraId="36CA67B2" w14:textId="4231B416" w:rsidR="0010679A" w:rsidRPr="00CD3A59" w:rsidRDefault="0010679A" w:rsidP="0010679A">
      <w:pPr>
        <w:rPr>
          <w:b/>
          <w:bCs/>
        </w:rPr>
      </w:pPr>
      <w:r w:rsidRPr="00CD3A59">
        <w:rPr>
          <w:b/>
          <w:bCs/>
        </w:rPr>
        <w:lastRenderedPageBreak/>
        <w:t>Customer Support</w:t>
      </w:r>
    </w:p>
    <w:p w14:paraId="0DF8EF42" w14:textId="77777777" w:rsidR="0010679A" w:rsidRPr="00CD3A59" w:rsidRDefault="0010679A" w:rsidP="0010679A">
      <w:r w:rsidRPr="00CD3A59">
        <w:t>The service provider shall:</w:t>
      </w:r>
    </w:p>
    <w:p w14:paraId="21FF776B" w14:textId="77777777" w:rsidR="0010679A" w:rsidRPr="00CD3A59" w:rsidRDefault="0010679A" w:rsidP="0010679A">
      <w:pPr>
        <w:pStyle w:val="ListParagraph"/>
        <w:numPr>
          <w:ilvl w:val="0"/>
          <w:numId w:val="16"/>
        </w:numPr>
        <w:spacing w:after="160" w:line="278" w:lineRule="auto"/>
      </w:pPr>
      <w:r w:rsidRPr="00CD3A59">
        <w:t>Assign a dedicated focal point for Y-PEER Somalia</w:t>
      </w:r>
    </w:p>
    <w:p w14:paraId="6094FF70" w14:textId="77777777" w:rsidR="0010679A" w:rsidRPr="00CD3A59" w:rsidRDefault="0010679A" w:rsidP="0010679A">
      <w:pPr>
        <w:pStyle w:val="ListParagraph"/>
        <w:numPr>
          <w:ilvl w:val="0"/>
          <w:numId w:val="16"/>
        </w:numPr>
        <w:spacing w:after="160" w:line="278" w:lineRule="auto"/>
      </w:pPr>
      <w:r w:rsidRPr="00CD3A59">
        <w:t>Resolve transaction failures promptly</w:t>
      </w:r>
    </w:p>
    <w:p w14:paraId="4F185509" w14:textId="77777777" w:rsidR="0010679A" w:rsidRPr="00CD3A59" w:rsidRDefault="0010679A" w:rsidP="0010679A">
      <w:pPr>
        <w:pStyle w:val="ListParagraph"/>
        <w:numPr>
          <w:ilvl w:val="0"/>
          <w:numId w:val="16"/>
        </w:numPr>
        <w:spacing w:after="160" w:line="278" w:lineRule="auto"/>
      </w:pPr>
      <w:r w:rsidRPr="00CD3A59">
        <w:t>Provide mechanisms for beneficiary complaints</w:t>
      </w:r>
    </w:p>
    <w:p w14:paraId="738322F1" w14:textId="5FC1D5C5" w:rsidR="0010679A" w:rsidRPr="00CD3A59" w:rsidRDefault="0010679A" w:rsidP="0010679A">
      <w:pPr>
        <w:rPr>
          <w:b/>
          <w:bCs/>
        </w:rPr>
      </w:pPr>
      <w:r w:rsidRPr="00CD3A59">
        <w:rPr>
          <w:b/>
          <w:bCs/>
        </w:rPr>
        <w:t>Geographic Coverage</w:t>
      </w:r>
    </w:p>
    <w:p w14:paraId="08E06E3E" w14:textId="77777777" w:rsidR="0010679A" w:rsidRPr="00CD3A59" w:rsidRDefault="0010679A" w:rsidP="0010679A">
      <w:r w:rsidRPr="00CD3A59">
        <w:t>The service provider must demonstrate operational capacity in the following Federal Member States of Somalia:</w:t>
      </w:r>
    </w:p>
    <w:p w14:paraId="24F1E936" w14:textId="77777777" w:rsidR="0010679A" w:rsidRPr="000E12DA" w:rsidRDefault="0010679A" w:rsidP="0010679A">
      <w:pPr>
        <w:pStyle w:val="ListParagraph"/>
        <w:numPr>
          <w:ilvl w:val="0"/>
          <w:numId w:val="17"/>
        </w:numPr>
        <w:spacing w:after="160" w:line="278" w:lineRule="auto"/>
      </w:pPr>
      <w:r w:rsidRPr="000E12DA">
        <w:t>South West State</w:t>
      </w:r>
    </w:p>
    <w:p w14:paraId="6F8C884B" w14:textId="77777777" w:rsidR="0010679A" w:rsidRPr="000E12DA" w:rsidRDefault="0010679A" w:rsidP="0010679A">
      <w:pPr>
        <w:pStyle w:val="ListParagraph"/>
        <w:numPr>
          <w:ilvl w:val="0"/>
          <w:numId w:val="17"/>
        </w:numPr>
        <w:spacing w:after="160" w:line="278" w:lineRule="auto"/>
      </w:pPr>
      <w:proofErr w:type="spellStart"/>
      <w:r w:rsidRPr="000E12DA">
        <w:t>Jubaland</w:t>
      </w:r>
      <w:proofErr w:type="spellEnd"/>
      <w:r w:rsidRPr="000E12DA">
        <w:t xml:space="preserve"> State</w:t>
      </w:r>
    </w:p>
    <w:p w14:paraId="7D55909D" w14:textId="77777777" w:rsidR="0010679A" w:rsidRPr="000E12DA" w:rsidRDefault="0010679A" w:rsidP="0010679A">
      <w:pPr>
        <w:pStyle w:val="ListParagraph"/>
        <w:numPr>
          <w:ilvl w:val="0"/>
          <w:numId w:val="17"/>
        </w:numPr>
        <w:spacing w:after="160" w:line="278" w:lineRule="auto"/>
      </w:pPr>
      <w:r w:rsidRPr="000E12DA">
        <w:t>Banadir Regional Administration</w:t>
      </w:r>
    </w:p>
    <w:p w14:paraId="5699E27A" w14:textId="77777777" w:rsidR="0010679A" w:rsidRPr="000E12DA" w:rsidRDefault="0010679A" w:rsidP="0010679A">
      <w:pPr>
        <w:pStyle w:val="ListParagraph"/>
        <w:numPr>
          <w:ilvl w:val="0"/>
          <w:numId w:val="17"/>
        </w:numPr>
        <w:spacing w:after="160" w:line="278" w:lineRule="auto"/>
      </w:pPr>
      <w:proofErr w:type="spellStart"/>
      <w:r w:rsidRPr="000E12DA">
        <w:t>Hirshabelle</w:t>
      </w:r>
      <w:proofErr w:type="spellEnd"/>
      <w:r w:rsidRPr="000E12DA">
        <w:t xml:space="preserve"> State</w:t>
      </w:r>
    </w:p>
    <w:p w14:paraId="68923D82" w14:textId="77777777" w:rsidR="0010679A" w:rsidRPr="000E12DA" w:rsidRDefault="0010679A" w:rsidP="0010679A">
      <w:pPr>
        <w:pStyle w:val="ListParagraph"/>
        <w:numPr>
          <w:ilvl w:val="0"/>
          <w:numId w:val="17"/>
        </w:numPr>
        <w:spacing w:after="160" w:line="278" w:lineRule="auto"/>
      </w:pPr>
      <w:r w:rsidRPr="000E12DA">
        <w:t>Galmudug State</w:t>
      </w:r>
    </w:p>
    <w:p w14:paraId="4D4E803D" w14:textId="77777777" w:rsidR="0010679A" w:rsidRPr="00CD3A59" w:rsidRDefault="0010679A" w:rsidP="0010679A">
      <w:r w:rsidRPr="00CD3A59">
        <w:t>Preference will be given to service providers with:</w:t>
      </w:r>
    </w:p>
    <w:p w14:paraId="579A8019" w14:textId="77777777" w:rsidR="0010679A" w:rsidRPr="00CD3A59" w:rsidRDefault="0010679A" w:rsidP="0010679A">
      <w:pPr>
        <w:pStyle w:val="ListParagraph"/>
        <w:numPr>
          <w:ilvl w:val="0"/>
          <w:numId w:val="18"/>
        </w:numPr>
        <w:spacing w:after="160" w:line="278" w:lineRule="auto"/>
      </w:pPr>
      <w:r w:rsidRPr="00CD3A59">
        <w:t>Strong mobile money agent networks in rural areas</w:t>
      </w:r>
    </w:p>
    <w:p w14:paraId="5D31140D" w14:textId="77777777" w:rsidR="0010679A" w:rsidRPr="00CD3A59" w:rsidRDefault="0010679A" w:rsidP="0010679A">
      <w:pPr>
        <w:pStyle w:val="ListParagraph"/>
        <w:numPr>
          <w:ilvl w:val="0"/>
          <w:numId w:val="18"/>
        </w:numPr>
        <w:spacing w:after="160" w:line="278" w:lineRule="auto"/>
      </w:pPr>
      <w:r w:rsidRPr="00CD3A59">
        <w:t>Reliable network coverage across multiple districts</w:t>
      </w:r>
    </w:p>
    <w:p w14:paraId="3EDB0FD0" w14:textId="77777777" w:rsidR="0010679A" w:rsidRPr="00CD3A59" w:rsidRDefault="0010679A" w:rsidP="0010679A">
      <w:pPr>
        <w:pStyle w:val="ListParagraph"/>
        <w:numPr>
          <w:ilvl w:val="0"/>
          <w:numId w:val="18"/>
        </w:numPr>
        <w:spacing w:after="160" w:line="278" w:lineRule="auto"/>
      </w:pPr>
      <w:r w:rsidRPr="00CD3A59">
        <w:t>Experience supporting humanitarian cash transfer programs</w:t>
      </w:r>
    </w:p>
    <w:p w14:paraId="5E373FD2" w14:textId="727391B4" w:rsidR="00256316" w:rsidRPr="00256316" w:rsidRDefault="00256316" w:rsidP="005163F2">
      <w:pPr>
        <w:spacing w:before="240"/>
        <w:rPr>
          <w:b/>
          <w:bCs/>
        </w:rPr>
      </w:pPr>
      <w:r w:rsidRPr="00256316">
        <w:rPr>
          <w:b/>
          <w:bCs/>
        </w:rPr>
        <w:t>Invitation to Bid</w:t>
      </w:r>
    </w:p>
    <w:p w14:paraId="089848FD" w14:textId="77777777" w:rsidR="00256316" w:rsidRPr="00256316" w:rsidRDefault="00256316" w:rsidP="005163F2">
      <w:pPr>
        <w:spacing w:after="0"/>
        <w:jc w:val="both"/>
      </w:pPr>
      <w:r w:rsidRPr="00256316">
        <w:t>Y-PEER Somalia invites qualified and licensed Mobile Money Transfer Service Providers operating in Somalia to submit bids for the provision of mobile money transfer services under a Framework Agreement.</w:t>
      </w:r>
    </w:p>
    <w:p w14:paraId="5534C263" w14:textId="77777777" w:rsidR="00256316" w:rsidRPr="00256316" w:rsidRDefault="00256316" w:rsidP="005163F2">
      <w:pPr>
        <w:spacing w:after="0"/>
        <w:jc w:val="both"/>
      </w:pPr>
      <w:r w:rsidRPr="00256316">
        <w:t>The selected service providers will support Y-PEER Somalia in delivering electronic cash transfers to beneficiaries under humanitarian and development programs implemented by the organization.</w:t>
      </w:r>
    </w:p>
    <w:p w14:paraId="64123DCF" w14:textId="77777777" w:rsidR="00256316" w:rsidRPr="00256316" w:rsidRDefault="00256316" w:rsidP="005163F2">
      <w:pPr>
        <w:spacing w:after="0"/>
        <w:jc w:val="both"/>
      </w:pPr>
      <w:r w:rsidRPr="00256316">
        <w:t>The services will support program activities implemented by Y-PEER Somalia in the following Federal Member States of Somalia:</w:t>
      </w:r>
    </w:p>
    <w:p w14:paraId="7C7AF165" w14:textId="77777777" w:rsidR="00256316" w:rsidRPr="00256316" w:rsidRDefault="00256316" w:rsidP="005163F2">
      <w:pPr>
        <w:numPr>
          <w:ilvl w:val="0"/>
          <w:numId w:val="2"/>
        </w:numPr>
        <w:spacing w:after="0"/>
      </w:pPr>
      <w:r w:rsidRPr="00256316">
        <w:t>South West State</w:t>
      </w:r>
    </w:p>
    <w:p w14:paraId="138BB8BD" w14:textId="77777777" w:rsidR="00256316" w:rsidRPr="00256316" w:rsidRDefault="00256316" w:rsidP="005163F2">
      <w:pPr>
        <w:spacing w:after="0"/>
      </w:pPr>
      <w:r w:rsidRPr="00256316">
        <w:t>Bidders are requested to submit their quotations based on the conditions stated in this Invitation to Bid.</w:t>
      </w:r>
    </w:p>
    <w:p w14:paraId="25EA4963" w14:textId="77777777" w:rsidR="0010679A" w:rsidRDefault="0010679A" w:rsidP="00256316">
      <w:pPr>
        <w:rPr>
          <w:b/>
          <w:bCs/>
        </w:rPr>
      </w:pPr>
    </w:p>
    <w:p w14:paraId="58B067A4" w14:textId="66D8CAD5" w:rsidR="00256316" w:rsidRPr="00256316" w:rsidRDefault="00256316" w:rsidP="0010679A">
      <w:pPr>
        <w:spacing w:after="0"/>
        <w:rPr>
          <w:b/>
          <w:bCs/>
        </w:rPr>
      </w:pPr>
      <w:r w:rsidRPr="00256316">
        <w:rPr>
          <w:b/>
          <w:bCs/>
        </w:rPr>
        <w:t>Important</w:t>
      </w:r>
    </w:p>
    <w:p w14:paraId="41B3A166" w14:textId="75714BC3" w:rsidR="00256316" w:rsidRPr="00256316" w:rsidRDefault="00256316" w:rsidP="005163F2">
      <w:pPr>
        <w:spacing w:after="0"/>
      </w:pPr>
      <w:r w:rsidRPr="00256316">
        <w:t>All quotations/bids must be submitted electronically before the deadline above.</w:t>
      </w:r>
      <w:r w:rsidR="005163F2">
        <w:t xml:space="preserve"> </w:t>
      </w:r>
      <w:r w:rsidRPr="00256316">
        <w:t>Your offer should clearly indicate:</w:t>
      </w:r>
    </w:p>
    <w:p w14:paraId="2343A658" w14:textId="77777777" w:rsidR="00256316" w:rsidRPr="00256316" w:rsidRDefault="00256316" w:rsidP="00256316">
      <w:pPr>
        <w:numPr>
          <w:ilvl w:val="0"/>
          <w:numId w:val="3"/>
        </w:numPr>
        <w:spacing w:after="0"/>
      </w:pPr>
      <w:r w:rsidRPr="00256316">
        <w:t xml:space="preserve">Mobile money </w:t>
      </w:r>
      <w:r w:rsidRPr="00256316">
        <w:rPr>
          <w:b/>
          <w:bCs/>
        </w:rPr>
        <w:t>service fee (%) per transfer</w:t>
      </w:r>
    </w:p>
    <w:p w14:paraId="755131BE" w14:textId="77777777" w:rsidR="00256316" w:rsidRPr="00256316" w:rsidRDefault="00256316" w:rsidP="00256316">
      <w:pPr>
        <w:numPr>
          <w:ilvl w:val="0"/>
          <w:numId w:val="3"/>
        </w:numPr>
        <w:spacing w:after="0"/>
      </w:pPr>
      <w:r w:rsidRPr="00256316">
        <w:rPr>
          <w:b/>
          <w:bCs/>
        </w:rPr>
        <w:t>SIM card price</w:t>
      </w:r>
    </w:p>
    <w:p w14:paraId="35914361" w14:textId="77777777" w:rsidR="00256316" w:rsidRPr="00256316" w:rsidRDefault="00256316" w:rsidP="00256316">
      <w:pPr>
        <w:numPr>
          <w:ilvl w:val="0"/>
          <w:numId w:val="3"/>
        </w:numPr>
        <w:spacing w:after="0"/>
        <w:rPr>
          <w:b/>
          <w:bCs/>
        </w:rPr>
      </w:pPr>
      <w:r w:rsidRPr="00256316">
        <w:rPr>
          <w:b/>
          <w:bCs/>
        </w:rPr>
        <w:t>Validity of the offer</w:t>
      </w:r>
    </w:p>
    <w:p w14:paraId="09067F99" w14:textId="77777777" w:rsidR="005163F2" w:rsidRDefault="005163F2" w:rsidP="005163F2">
      <w:pPr>
        <w:spacing w:after="0"/>
        <w:rPr>
          <w:b/>
          <w:bCs/>
        </w:rPr>
      </w:pPr>
    </w:p>
    <w:p w14:paraId="1ABC2BBD" w14:textId="16745C52" w:rsidR="00256316" w:rsidRPr="00256316" w:rsidRDefault="00256316" w:rsidP="005163F2">
      <w:pPr>
        <w:spacing w:after="0"/>
        <w:rPr>
          <w:b/>
          <w:bCs/>
        </w:rPr>
      </w:pPr>
      <w:r w:rsidRPr="00256316">
        <w:rPr>
          <w:b/>
          <w:bCs/>
        </w:rPr>
        <w:t>Supplier Registration Requirement</w:t>
      </w:r>
    </w:p>
    <w:p w14:paraId="6913B516" w14:textId="5090A3EE" w:rsidR="00256316" w:rsidRPr="00256316" w:rsidRDefault="00256316" w:rsidP="009B6B11">
      <w:r w:rsidRPr="00256316">
        <w:lastRenderedPageBreak/>
        <w:t xml:space="preserve">All interested suppliers must complete the </w:t>
      </w:r>
      <w:r w:rsidRPr="00256316">
        <w:rPr>
          <w:b/>
          <w:bCs/>
        </w:rPr>
        <w:t>Y-PEER Somalia Supplier Registration Form</w:t>
      </w:r>
      <w:r w:rsidRPr="00256316">
        <w:t xml:space="preserve"> before submitting their bids.</w:t>
      </w:r>
      <w:r w:rsidR="009B6B11">
        <w:t xml:space="preserve"> </w:t>
      </w:r>
      <w:r w:rsidRPr="00256316">
        <w:t>The form collects supplier details required for procurement compliance and supplier verification.</w:t>
      </w:r>
      <w:r w:rsidR="009B6B11">
        <w:t xml:space="preserve"> </w:t>
      </w:r>
      <w:r w:rsidRPr="00256316">
        <w:t>Supplier Registration Link:</w:t>
      </w:r>
      <w:r w:rsidR="009B6B11">
        <w:t xml:space="preserve"> </w:t>
      </w:r>
      <w:hyperlink r:id="rId9" w:history="1">
        <w:r w:rsidR="009B6B11" w:rsidRPr="00E9155D">
          <w:rPr>
            <w:rStyle w:val="Hyperlink"/>
          </w:rPr>
          <w:t>https://forms.office.com/r/ngNZJCVi8m</w:t>
        </w:r>
      </w:hyperlink>
      <w:r w:rsidR="009B6B11">
        <w:t xml:space="preserve"> </w:t>
      </w:r>
    </w:p>
    <w:p w14:paraId="3416F837" w14:textId="77777777" w:rsidR="00256316" w:rsidRPr="00256316" w:rsidRDefault="00256316" w:rsidP="00256316">
      <w:r w:rsidRPr="00256316">
        <w:t>Failure to complete the supplier registration form may result in disqualification from the tender process.</w:t>
      </w:r>
    </w:p>
    <w:p w14:paraId="75F601BE" w14:textId="77777777" w:rsidR="00256316" w:rsidRPr="00256316" w:rsidRDefault="00256316" w:rsidP="00256316">
      <w:pPr>
        <w:rPr>
          <w:b/>
          <w:bCs/>
        </w:rPr>
      </w:pPr>
      <w:r w:rsidRPr="00256316">
        <w:rPr>
          <w:b/>
          <w:bCs/>
        </w:rPr>
        <w:t>Information to Bidders</w:t>
      </w:r>
    </w:p>
    <w:p w14:paraId="79ADD4E0" w14:textId="77777777" w:rsidR="00256316" w:rsidRPr="00256316" w:rsidRDefault="00256316" w:rsidP="00256316">
      <w:pPr>
        <w:numPr>
          <w:ilvl w:val="0"/>
          <w:numId w:val="4"/>
        </w:numPr>
        <w:spacing w:after="0"/>
      </w:pPr>
      <w:r w:rsidRPr="00256316">
        <w:t xml:space="preserve">Currency of the offer should preferably be in </w:t>
      </w:r>
      <w:r w:rsidRPr="00256316">
        <w:rPr>
          <w:b/>
          <w:bCs/>
        </w:rPr>
        <w:t>US Dollars (USD)</w:t>
      </w:r>
      <w:r w:rsidRPr="00256316">
        <w:t>. If local currency is offered, the comparison of offers will be based on the prevailing exchange rate.</w:t>
      </w:r>
    </w:p>
    <w:p w14:paraId="6CD00053" w14:textId="77777777" w:rsidR="00256316" w:rsidRPr="00256316" w:rsidRDefault="00256316" w:rsidP="00256316">
      <w:pPr>
        <w:numPr>
          <w:ilvl w:val="0"/>
          <w:numId w:val="4"/>
        </w:numPr>
        <w:spacing w:after="0"/>
      </w:pPr>
      <w:r w:rsidRPr="00256316">
        <w:t>Y-PEER Somalia reserves the right to accept the whole or part of any offer.</w:t>
      </w:r>
    </w:p>
    <w:p w14:paraId="02A960D9" w14:textId="77777777" w:rsidR="00256316" w:rsidRPr="00256316" w:rsidRDefault="00256316" w:rsidP="00256316">
      <w:pPr>
        <w:numPr>
          <w:ilvl w:val="0"/>
          <w:numId w:val="4"/>
        </w:numPr>
        <w:spacing w:after="0"/>
      </w:pPr>
      <w:r w:rsidRPr="00256316">
        <w:t>Y-PEER Somalia reserves the right to accept or reject any bid and is not bound to give reasons for its decision.</w:t>
      </w:r>
    </w:p>
    <w:p w14:paraId="36F51F80" w14:textId="77777777" w:rsidR="00256316" w:rsidRPr="00256316" w:rsidRDefault="00256316" w:rsidP="00256316">
      <w:pPr>
        <w:numPr>
          <w:ilvl w:val="0"/>
          <w:numId w:val="4"/>
        </w:numPr>
        <w:spacing w:after="0"/>
      </w:pPr>
      <w:r w:rsidRPr="00256316">
        <w:t xml:space="preserve">Providing false information or attempting to influence the procurement process will lead to </w:t>
      </w:r>
      <w:r w:rsidRPr="00256316">
        <w:rPr>
          <w:b/>
          <w:bCs/>
        </w:rPr>
        <w:t>automatic disqualification</w:t>
      </w:r>
      <w:r w:rsidRPr="00256316">
        <w:t>.</w:t>
      </w:r>
    </w:p>
    <w:p w14:paraId="74C653F5" w14:textId="77777777" w:rsidR="00256316" w:rsidRPr="00256316" w:rsidRDefault="00256316" w:rsidP="00256316">
      <w:pPr>
        <w:numPr>
          <w:ilvl w:val="0"/>
          <w:numId w:val="4"/>
        </w:numPr>
      </w:pPr>
      <w:r w:rsidRPr="00256316">
        <w:t>Your quotation letter should be submitted as a separate document from this ITB.</w:t>
      </w:r>
    </w:p>
    <w:p w14:paraId="5D007AF1" w14:textId="77777777" w:rsidR="009B6B11" w:rsidRDefault="009B6B11" w:rsidP="00256316">
      <w:pPr>
        <w:spacing w:after="0"/>
        <w:rPr>
          <w:b/>
          <w:bCs/>
        </w:rPr>
      </w:pPr>
    </w:p>
    <w:p w14:paraId="6121F8E7" w14:textId="3C3BCBA6" w:rsidR="00256316" w:rsidRPr="00256316" w:rsidRDefault="00256316" w:rsidP="00256316">
      <w:pPr>
        <w:spacing w:after="0"/>
        <w:rPr>
          <w:b/>
          <w:bCs/>
        </w:rPr>
      </w:pPr>
      <w:r w:rsidRPr="00256316">
        <w:rPr>
          <w:b/>
          <w:bCs/>
        </w:rPr>
        <w:t>Evaluation Criteria</w:t>
      </w:r>
    </w:p>
    <w:p w14:paraId="6F56B020" w14:textId="77777777" w:rsidR="00256316" w:rsidRPr="00256316" w:rsidRDefault="00256316" w:rsidP="00256316">
      <w:pPr>
        <w:spacing w:after="0"/>
      </w:pPr>
      <w:r w:rsidRPr="00256316">
        <w:t>Your bid will be evaluated in the following stages.</w:t>
      </w:r>
    </w:p>
    <w:p w14:paraId="4B7E571C" w14:textId="77777777" w:rsidR="00256316" w:rsidRPr="00256316" w:rsidRDefault="00256316" w:rsidP="00256316">
      <w:pPr>
        <w:spacing w:before="240" w:after="0"/>
        <w:rPr>
          <w:b/>
          <w:bCs/>
        </w:rPr>
      </w:pPr>
      <w:r w:rsidRPr="00256316">
        <w:rPr>
          <w:b/>
          <w:bCs/>
        </w:rPr>
        <w:t>Stage 1: Preliminary Bid Responsiveness Assessment (Mandatory Requirements)</w:t>
      </w:r>
    </w:p>
    <w:p w14:paraId="6F11DD23" w14:textId="6203FEE2" w:rsidR="00256316" w:rsidRPr="00256316" w:rsidRDefault="00256316" w:rsidP="00256316">
      <w:pPr>
        <w:spacing w:after="0"/>
      </w:pPr>
      <w:r w:rsidRPr="00256316">
        <w:t>This stage will assess whether bidders have complied with submission requirements and provided mandatory documents.</w:t>
      </w:r>
      <w:r w:rsidRPr="009B6B11">
        <w:t xml:space="preserve"> </w:t>
      </w:r>
      <w:r w:rsidRPr="00256316">
        <w:t>Evaluation will be conducted on a Yes/No basis.</w:t>
      </w:r>
    </w:p>
    <w:p w14:paraId="1B5D757D" w14:textId="77777777" w:rsidR="00256316" w:rsidRPr="00256316" w:rsidRDefault="00256316" w:rsidP="00256316">
      <w:r w:rsidRPr="00256316">
        <w:t>Missing any mandatory requirement will result in automatic disqualification.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80"/>
        <w:gridCol w:w="4889"/>
      </w:tblGrid>
      <w:tr w:rsidR="00256316" w:rsidRPr="00256316" w14:paraId="3ED2D333" w14:textId="77777777" w:rsidTr="00256316">
        <w:tc>
          <w:tcPr>
            <w:tcW w:w="0" w:type="auto"/>
            <w:hideMark/>
          </w:tcPr>
          <w:p w14:paraId="6B70F3EE" w14:textId="77777777" w:rsidR="00256316" w:rsidRPr="00256316" w:rsidRDefault="00256316" w:rsidP="009B6B11">
            <w:pPr>
              <w:rPr>
                <w:b/>
                <w:bCs/>
              </w:rPr>
            </w:pPr>
            <w:r w:rsidRPr="00256316">
              <w:rPr>
                <w:b/>
                <w:bCs/>
              </w:rPr>
              <w:t>No</w:t>
            </w:r>
          </w:p>
        </w:tc>
        <w:tc>
          <w:tcPr>
            <w:tcW w:w="0" w:type="auto"/>
            <w:hideMark/>
          </w:tcPr>
          <w:p w14:paraId="674AE227" w14:textId="77777777" w:rsidR="00256316" w:rsidRPr="00256316" w:rsidRDefault="00256316" w:rsidP="009B6B11">
            <w:pPr>
              <w:rPr>
                <w:b/>
                <w:bCs/>
              </w:rPr>
            </w:pPr>
            <w:r w:rsidRPr="00256316">
              <w:rPr>
                <w:b/>
                <w:bCs/>
              </w:rPr>
              <w:t>Mandatory Requirement</w:t>
            </w:r>
          </w:p>
        </w:tc>
      </w:tr>
      <w:tr w:rsidR="00256316" w:rsidRPr="00256316" w14:paraId="39F0DB1B" w14:textId="77777777" w:rsidTr="009B6B11">
        <w:tc>
          <w:tcPr>
            <w:tcW w:w="0" w:type="auto"/>
          </w:tcPr>
          <w:p w14:paraId="38FD2DFC" w14:textId="44913D3B" w:rsidR="00256316" w:rsidRPr="00256316" w:rsidRDefault="00256316" w:rsidP="009B6B11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0" w:type="auto"/>
            <w:hideMark/>
          </w:tcPr>
          <w:p w14:paraId="6E5BE7D9" w14:textId="27F17783" w:rsidR="009B6B11" w:rsidRPr="00256316" w:rsidRDefault="009B6B11" w:rsidP="009B6B11">
            <w:pPr>
              <w:spacing w:after="160"/>
            </w:pPr>
            <w:r>
              <w:t xml:space="preserve">Valid </w:t>
            </w:r>
            <w:r w:rsidRPr="00CD3A59">
              <w:t>Company registration certificate</w:t>
            </w:r>
          </w:p>
          <w:p w14:paraId="63D9E9F2" w14:textId="75C267B1" w:rsidR="00256316" w:rsidRPr="00256316" w:rsidRDefault="00256316" w:rsidP="009B6B11"/>
        </w:tc>
      </w:tr>
      <w:tr w:rsidR="00256316" w:rsidRPr="00256316" w14:paraId="50FCA345" w14:textId="77777777" w:rsidTr="009B6B11">
        <w:tc>
          <w:tcPr>
            <w:tcW w:w="0" w:type="auto"/>
          </w:tcPr>
          <w:p w14:paraId="68126DC1" w14:textId="12E6DC13" w:rsidR="00256316" w:rsidRPr="00256316" w:rsidRDefault="00256316" w:rsidP="009B6B11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0" w:type="auto"/>
            <w:hideMark/>
          </w:tcPr>
          <w:p w14:paraId="260961E0" w14:textId="4F7A2A7B" w:rsidR="00256316" w:rsidRPr="00256316" w:rsidRDefault="009B6B11" w:rsidP="009B6B11">
            <w:pPr>
              <w:spacing w:after="160"/>
            </w:pPr>
            <w:r w:rsidRPr="00CD3A59">
              <w:t xml:space="preserve">Tax </w:t>
            </w:r>
            <w:r>
              <w:t>Clearance Certificate</w:t>
            </w:r>
          </w:p>
        </w:tc>
      </w:tr>
      <w:tr w:rsidR="00256316" w:rsidRPr="00256316" w14:paraId="5A659B6C" w14:textId="77777777" w:rsidTr="009B6B11">
        <w:tc>
          <w:tcPr>
            <w:tcW w:w="0" w:type="auto"/>
          </w:tcPr>
          <w:p w14:paraId="7B303E3E" w14:textId="3D957E00" w:rsidR="00256316" w:rsidRPr="00256316" w:rsidRDefault="00256316" w:rsidP="009B6B11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0" w:type="auto"/>
            <w:hideMark/>
          </w:tcPr>
          <w:p w14:paraId="04D0D41A" w14:textId="77777777" w:rsidR="00256316" w:rsidRPr="00256316" w:rsidRDefault="00256316" w:rsidP="009B6B11">
            <w:r w:rsidRPr="00256316">
              <w:t>Company Profile</w:t>
            </w:r>
          </w:p>
        </w:tc>
      </w:tr>
      <w:tr w:rsidR="009B6B11" w:rsidRPr="00256316" w14:paraId="1B332886" w14:textId="77777777" w:rsidTr="00256316">
        <w:tc>
          <w:tcPr>
            <w:tcW w:w="0" w:type="auto"/>
          </w:tcPr>
          <w:p w14:paraId="75838307" w14:textId="77777777" w:rsidR="009B6B11" w:rsidRPr="00256316" w:rsidRDefault="009B6B11" w:rsidP="009B6B11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0" w:type="auto"/>
          </w:tcPr>
          <w:p w14:paraId="514690F0" w14:textId="6E04ADED" w:rsidR="009B6B11" w:rsidRPr="00256316" w:rsidRDefault="009B6B11" w:rsidP="009B6B11">
            <w:pPr>
              <w:spacing w:after="160"/>
            </w:pPr>
            <w:r>
              <w:t>Similar Contracts with international NGOs</w:t>
            </w:r>
          </w:p>
        </w:tc>
      </w:tr>
      <w:tr w:rsidR="00256316" w:rsidRPr="00256316" w14:paraId="083C185B" w14:textId="77777777" w:rsidTr="009B6B11">
        <w:tc>
          <w:tcPr>
            <w:tcW w:w="0" w:type="auto"/>
          </w:tcPr>
          <w:p w14:paraId="7E5B8BFC" w14:textId="2B0F8936" w:rsidR="00256316" w:rsidRPr="00256316" w:rsidRDefault="00256316" w:rsidP="009B6B11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0" w:type="auto"/>
            <w:hideMark/>
          </w:tcPr>
          <w:p w14:paraId="1916515D" w14:textId="05E0FA23" w:rsidR="00256316" w:rsidRPr="00256316" w:rsidRDefault="00256316" w:rsidP="009B6B11">
            <w:r w:rsidRPr="00256316">
              <w:t>Completed</w:t>
            </w:r>
            <w:r w:rsidR="0081540F">
              <w:t xml:space="preserve"> and signed</w:t>
            </w:r>
            <w:r w:rsidRPr="00256316">
              <w:t xml:space="preserve"> </w:t>
            </w:r>
            <w:r w:rsidR="001620E6">
              <w:t xml:space="preserve">invitation to bid document </w:t>
            </w:r>
          </w:p>
        </w:tc>
      </w:tr>
      <w:tr w:rsidR="00256316" w:rsidRPr="00256316" w14:paraId="5B78BACE" w14:textId="77777777" w:rsidTr="009B6B11">
        <w:tc>
          <w:tcPr>
            <w:tcW w:w="0" w:type="auto"/>
          </w:tcPr>
          <w:p w14:paraId="047F1E0C" w14:textId="0E0FB3D6" w:rsidR="00256316" w:rsidRPr="00256316" w:rsidRDefault="00256316" w:rsidP="009B6B11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0" w:type="auto"/>
            <w:hideMark/>
          </w:tcPr>
          <w:p w14:paraId="1BB074AC" w14:textId="77777777" w:rsidR="00256316" w:rsidRPr="00256316" w:rsidRDefault="00256316" w:rsidP="009B6B11">
            <w:r w:rsidRPr="00256316">
              <w:t>Completion of the Online Supplier Registration Form</w:t>
            </w:r>
          </w:p>
        </w:tc>
      </w:tr>
    </w:tbl>
    <w:p w14:paraId="349670EE" w14:textId="4E561312" w:rsidR="00256316" w:rsidRPr="00256316" w:rsidRDefault="00256316" w:rsidP="005163F2">
      <w:pPr>
        <w:spacing w:before="240" w:after="0"/>
        <w:rPr>
          <w:b/>
          <w:bCs/>
        </w:rPr>
      </w:pPr>
      <w:r w:rsidRPr="00256316">
        <w:rPr>
          <w:b/>
          <w:bCs/>
        </w:rPr>
        <w:t>Stage 2: Technical Evaluation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5151"/>
        <w:gridCol w:w="787"/>
      </w:tblGrid>
      <w:tr w:rsidR="00256316" w:rsidRPr="00256316" w14:paraId="550578BA" w14:textId="77777777" w:rsidTr="00256316">
        <w:tc>
          <w:tcPr>
            <w:tcW w:w="0" w:type="auto"/>
            <w:hideMark/>
          </w:tcPr>
          <w:p w14:paraId="0A771F79" w14:textId="77777777" w:rsidR="00256316" w:rsidRPr="00256316" w:rsidRDefault="00256316" w:rsidP="00256316">
            <w:pPr>
              <w:spacing w:line="276" w:lineRule="auto"/>
              <w:rPr>
                <w:b/>
                <w:bCs/>
              </w:rPr>
            </w:pPr>
            <w:r w:rsidRPr="00256316">
              <w:rPr>
                <w:b/>
                <w:bCs/>
              </w:rPr>
              <w:t>Criteria</w:t>
            </w:r>
          </w:p>
        </w:tc>
        <w:tc>
          <w:tcPr>
            <w:tcW w:w="0" w:type="auto"/>
            <w:hideMark/>
          </w:tcPr>
          <w:p w14:paraId="16FF239A" w14:textId="77777777" w:rsidR="00256316" w:rsidRPr="00256316" w:rsidRDefault="00256316" w:rsidP="00256316">
            <w:pPr>
              <w:spacing w:line="276" w:lineRule="auto"/>
              <w:rPr>
                <w:b/>
                <w:bCs/>
              </w:rPr>
            </w:pPr>
            <w:r w:rsidRPr="00256316">
              <w:rPr>
                <w:b/>
                <w:bCs/>
              </w:rPr>
              <w:t>Marks</w:t>
            </w:r>
          </w:p>
        </w:tc>
      </w:tr>
      <w:tr w:rsidR="00256316" w:rsidRPr="00256316" w14:paraId="1269444D" w14:textId="77777777" w:rsidTr="00256316">
        <w:tc>
          <w:tcPr>
            <w:tcW w:w="0" w:type="auto"/>
            <w:hideMark/>
          </w:tcPr>
          <w:p w14:paraId="4DF550BC" w14:textId="77777777" w:rsidR="00256316" w:rsidRPr="00256316" w:rsidRDefault="00256316" w:rsidP="00256316">
            <w:pPr>
              <w:spacing w:line="276" w:lineRule="auto"/>
            </w:pPr>
            <w:r w:rsidRPr="00256316">
              <w:t>Experience in mobile money or digital financial services</w:t>
            </w:r>
          </w:p>
        </w:tc>
        <w:tc>
          <w:tcPr>
            <w:tcW w:w="0" w:type="auto"/>
            <w:hideMark/>
          </w:tcPr>
          <w:p w14:paraId="57271BFB" w14:textId="77777777" w:rsidR="00256316" w:rsidRPr="00256316" w:rsidRDefault="00256316" w:rsidP="00256316">
            <w:pPr>
              <w:spacing w:line="276" w:lineRule="auto"/>
            </w:pPr>
            <w:r w:rsidRPr="00256316">
              <w:t>20</w:t>
            </w:r>
          </w:p>
        </w:tc>
      </w:tr>
      <w:tr w:rsidR="00256316" w:rsidRPr="00256316" w14:paraId="101F8594" w14:textId="77777777" w:rsidTr="00256316">
        <w:tc>
          <w:tcPr>
            <w:tcW w:w="0" w:type="auto"/>
            <w:hideMark/>
          </w:tcPr>
          <w:p w14:paraId="3EC549ED" w14:textId="77777777" w:rsidR="00256316" w:rsidRPr="00256316" w:rsidRDefault="00256316" w:rsidP="00256316">
            <w:pPr>
              <w:spacing w:line="276" w:lineRule="auto"/>
            </w:pPr>
            <w:r w:rsidRPr="00256316">
              <w:t>Reporting and reconciliation systems</w:t>
            </w:r>
          </w:p>
        </w:tc>
        <w:tc>
          <w:tcPr>
            <w:tcW w:w="0" w:type="auto"/>
            <w:hideMark/>
          </w:tcPr>
          <w:p w14:paraId="31B1E15D" w14:textId="77777777" w:rsidR="00256316" w:rsidRPr="00256316" w:rsidRDefault="00256316" w:rsidP="00256316">
            <w:pPr>
              <w:spacing w:line="276" w:lineRule="auto"/>
            </w:pPr>
            <w:r w:rsidRPr="00256316">
              <w:t>15</w:t>
            </w:r>
          </w:p>
        </w:tc>
      </w:tr>
      <w:tr w:rsidR="00256316" w:rsidRPr="00256316" w14:paraId="1246ABB6" w14:textId="77777777" w:rsidTr="00256316">
        <w:tc>
          <w:tcPr>
            <w:tcW w:w="0" w:type="auto"/>
            <w:hideMark/>
          </w:tcPr>
          <w:p w14:paraId="406FD028" w14:textId="77777777" w:rsidR="00256316" w:rsidRPr="00256316" w:rsidRDefault="00256316" w:rsidP="00256316">
            <w:pPr>
              <w:spacing w:line="276" w:lineRule="auto"/>
            </w:pPr>
            <w:r w:rsidRPr="00256316">
              <w:t>Company profile and operational capacity</w:t>
            </w:r>
          </w:p>
        </w:tc>
        <w:tc>
          <w:tcPr>
            <w:tcW w:w="0" w:type="auto"/>
            <w:hideMark/>
          </w:tcPr>
          <w:p w14:paraId="1C916E71" w14:textId="77777777" w:rsidR="00256316" w:rsidRPr="00256316" w:rsidRDefault="00256316" w:rsidP="00256316">
            <w:pPr>
              <w:spacing w:line="276" w:lineRule="auto"/>
            </w:pPr>
            <w:r w:rsidRPr="00256316">
              <w:t>10</w:t>
            </w:r>
          </w:p>
        </w:tc>
      </w:tr>
    </w:tbl>
    <w:p w14:paraId="3C36239C" w14:textId="77777777" w:rsidR="00256316" w:rsidRPr="00256316" w:rsidRDefault="00256316" w:rsidP="00256316">
      <w:r w:rsidRPr="00256316">
        <w:t xml:space="preserve">Minimum score required to qualify for financial evaluation: </w:t>
      </w:r>
      <w:r w:rsidRPr="00256316">
        <w:rPr>
          <w:b/>
          <w:bCs/>
        </w:rPr>
        <w:t>70%</w:t>
      </w:r>
    </w:p>
    <w:p w14:paraId="304CE225" w14:textId="7DD3761D" w:rsidR="00256316" w:rsidRPr="00256316" w:rsidRDefault="00256316" w:rsidP="00256316">
      <w:pPr>
        <w:rPr>
          <w:b/>
          <w:bCs/>
        </w:rPr>
      </w:pPr>
      <w:r w:rsidRPr="00256316">
        <w:rPr>
          <w:b/>
          <w:bCs/>
        </w:rPr>
        <w:t>Stage 3: Cost Evaluation</w:t>
      </w:r>
    </w:p>
    <w:p w14:paraId="79BF3608" w14:textId="023B75C6" w:rsidR="00256316" w:rsidRDefault="00256316" w:rsidP="009B6B11">
      <w:pPr>
        <w:spacing w:after="0"/>
      </w:pPr>
      <w:r w:rsidRPr="00256316">
        <w:lastRenderedPageBreak/>
        <w:t>Cost evaluation will be based on the price quotation submitted in Annex I.</w:t>
      </w:r>
      <w:r w:rsidR="009B6B11">
        <w:t xml:space="preserve"> </w:t>
      </w:r>
      <w:r w:rsidRPr="00256316">
        <w:t>The bidder offering the most competitive service fee while meeting technical requirements may be selected.</w:t>
      </w:r>
    </w:p>
    <w:p w14:paraId="34D8C563" w14:textId="77777777" w:rsidR="009B6B11" w:rsidRDefault="009B6B11" w:rsidP="009B6B11">
      <w:pPr>
        <w:spacing w:after="0"/>
      </w:pPr>
    </w:p>
    <w:p w14:paraId="7ADB966E" w14:textId="1E32B785" w:rsidR="009B6B11" w:rsidRPr="00CD3A59" w:rsidRDefault="009B6B11" w:rsidP="009B6B11">
      <w:pPr>
        <w:spacing w:after="160" w:line="278" w:lineRule="auto"/>
        <w:rPr>
          <w:b/>
          <w:bCs/>
        </w:rPr>
      </w:pPr>
      <w:r w:rsidRPr="00CD3A59">
        <w:rPr>
          <w:b/>
          <w:bCs/>
        </w:rPr>
        <w:t>Framework Agreement Duration</w:t>
      </w:r>
    </w:p>
    <w:p w14:paraId="55270554" w14:textId="77777777" w:rsidR="009B6B11" w:rsidRPr="00CD3A59" w:rsidRDefault="009B6B11" w:rsidP="005163F2">
      <w:pPr>
        <w:spacing w:after="0" w:line="278" w:lineRule="auto"/>
      </w:pPr>
      <w:r w:rsidRPr="00CD3A59">
        <w:t>Selected service providers will sign a Framework Agreement valid for two (2) years.</w:t>
      </w:r>
    </w:p>
    <w:p w14:paraId="55043BA9" w14:textId="77777777" w:rsidR="009B6B11" w:rsidRPr="00CD3A59" w:rsidRDefault="009B6B11" w:rsidP="005163F2">
      <w:pPr>
        <w:spacing w:after="0" w:line="278" w:lineRule="auto"/>
      </w:pPr>
      <w:r w:rsidRPr="00CD3A59">
        <w:t>The agreement may be renewed based on:</w:t>
      </w:r>
    </w:p>
    <w:p w14:paraId="1E719B90" w14:textId="77777777" w:rsidR="009B6B11" w:rsidRPr="00CD3A59" w:rsidRDefault="009B6B11" w:rsidP="005163F2">
      <w:pPr>
        <w:pStyle w:val="ListParagraph"/>
        <w:numPr>
          <w:ilvl w:val="0"/>
          <w:numId w:val="11"/>
        </w:numPr>
        <w:spacing w:after="0" w:line="278" w:lineRule="auto"/>
      </w:pPr>
      <w:r w:rsidRPr="00CD3A59">
        <w:t>Performance of the service provider</w:t>
      </w:r>
    </w:p>
    <w:p w14:paraId="07699CA3" w14:textId="77777777" w:rsidR="009B6B11" w:rsidRPr="00CD3A59" w:rsidRDefault="009B6B11" w:rsidP="005163F2">
      <w:pPr>
        <w:pStyle w:val="ListParagraph"/>
        <w:numPr>
          <w:ilvl w:val="0"/>
          <w:numId w:val="11"/>
        </w:numPr>
        <w:spacing w:after="0" w:line="278" w:lineRule="auto"/>
      </w:pPr>
      <w:r w:rsidRPr="00CD3A59">
        <w:t>Program needs</w:t>
      </w:r>
    </w:p>
    <w:p w14:paraId="79AACAF7" w14:textId="77777777" w:rsidR="009B6B11" w:rsidRPr="00CD3A59" w:rsidRDefault="009B6B11" w:rsidP="005163F2">
      <w:pPr>
        <w:pStyle w:val="ListParagraph"/>
        <w:numPr>
          <w:ilvl w:val="0"/>
          <w:numId w:val="11"/>
        </w:numPr>
        <w:spacing w:after="0" w:line="278" w:lineRule="auto"/>
      </w:pPr>
      <w:r w:rsidRPr="00CD3A59">
        <w:t>Availability of funding</w:t>
      </w:r>
    </w:p>
    <w:p w14:paraId="283956F3" w14:textId="77777777" w:rsidR="009B6B11" w:rsidRPr="00CD3A59" w:rsidRDefault="009B6B11" w:rsidP="009B6B11">
      <w:pPr>
        <w:spacing w:after="160" w:line="278" w:lineRule="auto"/>
        <w:rPr>
          <w:b/>
          <w:bCs/>
        </w:rPr>
      </w:pPr>
      <w:r w:rsidRPr="00CD3A59">
        <w:rPr>
          <w:b/>
          <w:bCs/>
        </w:rPr>
        <w:t>10. Bid Submission Instructions</w:t>
      </w:r>
    </w:p>
    <w:p w14:paraId="3AC96D70" w14:textId="3C80FBB9" w:rsidR="009B6B11" w:rsidRPr="00CD3A59" w:rsidRDefault="009B6B11" w:rsidP="0081540F">
      <w:pPr>
        <w:spacing w:after="0" w:line="278" w:lineRule="auto"/>
      </w:pPr>
      <w:r w:rsidRPr="00CD3A59">
        <w:t xml:space="preserve">Interested companies should submit </w:t>
      </w:r>
      <w:r>
        <w:t>the required documents</w:t>
      </w:r>
      <w:r w:rsidRPr="00CD3A59">
        <w:t xml:space="preserve"> electronically.</w:t>
      </w:r>
      <w:r w:rsidR="0081540F">
        <w:t xml:space="preserve"> </w:t>
      </w:r>
      <w:r w:rsidR="0081540F" w:rsidRPr="0081540F">
        <w:rPr>
          <w:b/>
          <w:bCs/>
        </w:rPr>
        <w:t xml:space="preserve">Valid Company registration certificate, Tax Clearance Certificate, Company Profile, and Similar Contracts with international NGOs and signed and filled Invitation to Bid document. </w:t>
      </w:r>
    </w:p>
    <w:p w14:paraId="5C782E43" w14:textId="7E4C7B88" w:rsidR="009B6B11" w:rsidRPr="00CD3A59" w:rsidRDefault="009B6B11" w:rsidP="009B6B11">
      <w:pPr>
        <w:spacing w:after="0" w:line="278" w:lineRule="auto"/>
      </w:pPr>
      <w:r w:rsidRPr="00CD3A59">
        <w:rPr>
          <w:b/>
          <w:bCs/>
        </w:rPr>
        <w:t>Submission Email</w:t>
      </w:r>
      <w:r>
        <w:rPr>
          <w:b/>
          <w:bCs/>
        </w:rPr>
        <w:t xml:space="preserve">: </w:t>
      </w:r>
      <w:hyperlink r:id="rId10" w:history="1">
        <w:r w:rsidR="001B7440" w:rsidRPr="00E9155D">
          <w:rPr>
            <w:rStyle w:val="Hyperlink"/>
            <w:b/>
            <w:bCs/>
          </w:rPr>
          <w:t>procurement@ypeerso.org</w:t>
        </w:r>
      </w:hyperlink>
    </w:p>
    <w:p w14:paraId="0993B29C" w14:textId="77777777" w:rsidR="009B6B11" w:rsidRPr="00CD3A59" w:rsidRDefault="009B6B11" w:rsidP="009B6B11">
      <w:pPr>
        <w:spacing w:after="0" w:line="278" w:lineRule="auto"/>
      </w:pPr>
      <w:r w:rsidRPr="00CD3A59">
        <w:rPr>
          <w:b/>
          <w:bCs/>
        </w:rPr>
        <w:t>Email Subject</w:t>
      </w:r>
      <w:r>
        <w:rPr>
          <w:b/>
          <w:bCs/>
        </w:rPr>
        <w:t xml:space="preserve">: </w:t>
      </w:r>
      <w:r w:rsidRPr="00CD3A59">
        <w:t>CFP – Mobile Money Transfer Services – YP-SOM/CFP/MMT/2026/01</w:t>
      </w:r>
    </w:p>
    <w:p w14:paraId="0237BE3A" w14:textId="07E7E8FA" w:rsidR="009B6B11" w:rsidRPr="00CD3A59" w:rsidRDefault="009B6B11" w:rsidP="009B6B11">
      <w:pPr>
        <w:spacing w:after="0" w:line="278" w:lineRule="auto"/>
      </w:pPr>
      <w:r w:rsidRPr="00CD3A59">
        <w:rPr>
          <w:b/>
          <w:bCs/>
        </w:rPr>
        <w:t>Deadline</w:t>
      </w:r>
      <w:r>
        <w:rPr>
          <w:b/>
          <w:bCs/>
        </w:rPr>
        <w:t xml:space="preserve">: </w:t>
      </w:r>
      <w:r w:rsidR="00B6717E">
        <w:t>15</w:t>
      </w:r>
      <w:r w:rsidRPr="00CD3A59">
        <w:t xml:space="preserve"> </w:t>
      </w:r>
      <w:r w:rsidR="00B6717E">
        <w:t>Feb</w:t>
      </w:r>
      <w:r w:rsidRPr="00CD3A59">
        <w:t xml:space="preserve"> 2026 – 17:00 (EAT)</w:t>
      </w:r>
      <w:r>
        <w:t xml:space="preserve"> *</w:t>
      </w:r>
      <w:r w:rsidRPr="00CD3A59">
        <w:t>Late submissions will not be accepted.</w:t>
      </w:r>
    </w:p>
    <w:p w14:paraId="2F896959" w14:textId="77777777" w:rsidR="009B6B11" w:rsidRDefault="009B6B11" w:rsidP="009B6B11">
      <w:pPr>
        <w:spacing w:after="0"/>
        <w:rPr>
          <w:b/>
          <w:bCs/>
        </w:rPr>
      </w:pPr>
    </w:p>
    <w:p w14:paraId="459B509A" w14:textId="37828C6E" w:rsidR="009B6B11" w:rsidRPr="00CD3A59" w:rsidRDefault="009B6B11" w:rsidP="009B6B11">
      <w:pPr>
        <w:spacing w:after="0" w:line="278" w:lineRule="auto"/>
      </w:pPr>
      <w:r w:rsidRPr="00CD3A59">
        <w:rPr>
          <w:b/>
          <w:bCs/>
        </w:rPr>
        <w:t>11. Clarifications</w:t>
      </w:r>
      <w:r>
        <w:rPr>
          <w:b/>
          <w:bCs/>
        </w:rPr>
        <w:t xml:space="preserve">: </w:t>
      </w:r>
      <w:r w:rsidRPr="00CD3A59">
        <w:t xml:space="preserve">Questions regarding this CFP may be sent to: </w:t>
      </w:r>
      <w:hyperlink r:id="rId11" w:history="1">
        <w:r w:rsidR="008D4589" w:rsidRPr="00E9155D">
          <w:rPr>
            <w:rStyle w:val="Hyperlink"/>
            <w:b/>
            <w:bCs/>
          </w:rPr>
          <w:t>procurement@ypeerso.org</w:t>
        </w:r>
      </w:hyperlink>
      <w:r>
        <w:t xml:space="preserve"> </w:t>
      </w:r>
      <w:r w:rsidRPr="00CD3A59">
        <w:t xml:space="preserve">Deadline for clarification requests: </w:t>
      </w:r>
      <w:r w:rsidRPr="00CD3A59">
        <w:rPr>
          <w:b/>
          <w:bCs/>
        </w:rPr>
        <w:t xml:space="preserve">15 </w:t>
      </w:r>
      <w:r w:rsidR="00B6717E">
        <w:rPr>
          <w:b/>
          <w:bCs/>
        </w:rPr>
        <w:t>Feb</w:t>
      </w:r>
      <w:r w:rsidRPr="00CD3A59">
        <w:rPr>
          <w:b/>
          <w:bCs/>
        </w:rPr>
        <w:t xml:space="preserve"> 2026</w:t>
      </w:r>
    </w:p>
    <w:p w14:paraId="7270098C" w14:textId="77777777" w:rsidR="009B6B11" w:rsidRPr="00CD3A59" w:rsidRDefault="009B6B11" w:rsidP="009B6B11"/>
    <w:p w14:paraId="4F2B2563" w14:textId="77777777" w:rsidR="009B6B11" w:rsidRPr="00CD3A59" w:rsidRDefault="009B6B11" w:rsidP="009B6B11">
      <w:pPr>
        <w:spacing w:after="160" w:line="278" w:lineRule="auto"/>
        <w:rPr>
          <w:b/>
          <w:bCs/>
        </w:rPr>
      </w:pPr>
      <w:r w:rsidRPr="00CD3A59">
        <w:rPr>
          <w:b/>
          <w:bCs/>
        </w:rPr>
        <w:t>12. Disclaimer</w:t>
      </w:r>
    </w:p>
    <w:p w14:paraId="45462599" w14:textId="77777777" w:rsidR="009B6B11" w:rsidRPr="00CD3A59" w:rsidRDefault="009B6B11" w:rsidP="009B6B11">
      <w:pPr>
        <w:spacing w:after="160" w:line="278" w:lineRule="auto"/>
      </w:pPr>
      <w:r w:rsidRPr="00CD3A59">
        <w:t>Y-PEER Somalia reserves the right to:</w:t>
      </w:r>
    </w:p>
    <w:p w14:paraId="2F1D483B" w14:textId="6E12E0A2" w:rsidR="009B6B11" w:rsidRPr="00CD3A59" w:rsidRDefault="009B6B11" w:rsidP="009B6B11">
      <w:pPr>
        <w:numPr>
          <w:ilvl w:val="0"/>
          <w:numId w:val="10"/>
        </w:numPr>
        <w:spacing w:after="0" w:line="278" w:lineRule="auto"/>
      </w:pPr>
      <w:r w:rsidRPr="00CD3A59">
        <w:t xml:space="preserve">Accept or reject any </w:t>
      </w:r>
      <w:r w:rsidR="00B45714">
        <w:t>bid</w:t>
      </w:r>
    </w:p>
    <w:p w14:paraId="1168DD9F" w14:textId="679BABB6" w:rsidR="009B6B11" w:rsidRPr="00CD3A59" w:rsidRDefault="009B6B11" w:rsidP="009B6B11">
      <w:pPr>
        <w:numPr>
          <w:ilvl w:val="0"/>
          <w:numId w:val="10"/>
        </w:numPr>
        <w:spacing w:after="0" w:line="278" w:lineRule="auto"/>
      </w:pPr>
      <w:r w:rsidRPr="00CD3A59">
        <w:t xml:space="preserve">Cancel the </w:t>
      </w:r>
      <w:r w:rsidR="00B45714">
        <w:t>bid</w:t>
      </w:r>
      <w:r w:rsidRPr="00CD3A59">
        <w:t xml:space="preserve"> process without obligation</w:t>
      </w:r>
    </w:p>
    <w:p w14:paraId="7F0ADC99" w14:textId="77777777" w:rsidR="009B6B11" w:rsidRPr="00CD3A59" w:rsidRDefault="009B6B11" w:rsidP="009B6B11">
      <w:pPr>
        <w:numPr>
          <w:ilvl w:val="0"/>
          <w:numId w:val="10"/>
        </w:numPr>
        <w:spacing w:after="0" w:line="278" w:lineRule="auto"/>
      </w:pPr>
      <w:r w:rsidRPr="00CD3A59">
        <w:t>Request additional information from bidders</w:t>
      </w:r>
    </w:p>
    <w:p w14:paraId="5EBDD07E" w14:textId="77777777" w:rsidR="009B6B11" w:rsidRPr="00CD3A59" w:rsidRDefault="009B6B11" w:rsidP="009B6B11">
      <w:pPr>
        <w:numPr>
          <w:ilvl w:val="0"/>
          <w:numId w:val="10"/>
        </w:numPr>
        <w:spacing w:after="0" w:line="278" w:lineRule="auto"/>
      </w:pPr>
      <w:r w:rsidRPr="00CD3A59">
        <w:t>Award framework agreements to one or multiple service providers</w:t>
      </w:r>
    </w:p>
    <w:p w14:paraId="23868651" w14:textId="77777777" w:rsidR="009B6B11" w:rsidRDefault="009B6B11" w:rsidP="009B6B11">
      <w:pPr>
        <w:spacing w:after="0"/>
      </w:pPr>
    </w:p>
    <w:p w14:paraId="021704CB" w14:textId="77777777" w:rsidR="00283663" w:rsidRDefault="005163F2" w:rsidP="00B4571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column"/>
      </w:r>
    </w:p>
    <w:p w14:paraId="39FA4571" w14:textId="33CAB1E2" w:rsidR="00256316" w:rsidRPr="00256316" w:rsidRDefault="00256316" w:rsidP="00B45714">
      <w:pPr>
        <w:rPr>
          <w:b/>
          <w:bCs/>
          <w:sz w:val="32"/>
          <w:szCs w:val="32"/>
        </w:rPr>
      </w:pPr>
      <w:r w:rsidRPr="00256316">
        <w:rPr>
          <w:b/>
          <w:bCs/>
          <w:sz w:val="32"/>
          <w:szCs w:val="32"/>
        </w:rPr>
        <w:t>ANNEX I</w:t>
      </w:r>
      <w:r w:rsidR="00B45714" w:rsidRPr="00B45714">
        <w:rPr>
          <w:b/>
          <w:bCs/>
          <w:sz w:val="32"/>
          <w:szCs w:val="32"/>
        </w:rPr>
        <w:t xml:space="preserve">: </w:t>
      </w:r>
      <w:r w:rsidRPr="00256316">
        <w:rPr>
          <w:b/>
          <w:bCs/>
          <w:sz w:val="32"/>
          <w:szCs w:val="32"/>
        </w:rPr>
        <w:t>PRICE QUOTATION FORM</w:t>
      </w:r>
    </w:p>
    <w:tbl>
      <w:tblPr>
        <w:tblStyle w:val="TableGrid"/>
        <w:tblW w:w="9980" w:type="dxa"/>
        <w:tblLook w:val="04A0" w:firstRow="1" w:lastRow="0" w:firstColumn="1" w:lastColumn="0" w:noHBand="0" w:noVBand="1"/>
      </w:tblPr>
      <w:tblGrid>
        <w:gridCol w:w="1705"/>
        <w:gridCol w:w="2093"/>
        <w:gridCol w:w="1170"/>
        <w:gridCol w:w="2610"/>
        <w:gridCol w:w="2402"/>
      </w:tblGrid>
      <w:tr w:rsidR="00B45714" w14:paraId="2E710DE9" w14:textId="77777777" w:rsidTr="00283663">
        <w:tc>
          <w:tcPr>
            <w:tcW w:w="1705" w:type="dxa"/>
          </w:tcPr>
          <w:p w14:paraId="796B4305" w14:textId="62B96BDA" w:rsidR="00B45714" w:rsidRPr="005163F2" w:rsidRDefault="00B45714" w:rsidP="00B45714">
            <w:pPr>
              <w:spacing w:line="480" w:lineRule="auto"/>
              <w:rPr>
                <w:b/>
                <w:bCs/>
              </w:rPr>
            </w:pPr>
            <w:r w:rsidRPr="00256316">
              <w:rPr>
                <w:b/>
                <w:bCs/>
              </w:rPr>
              <w:t>Company Name</w:t>
            </w:r>
            <w:r w:rsidRPr="005163F2">
              <w:rPr>
                <w:b/>
                <w:bCs/>
              </w:rPr>
              <w:t xml:space="preserve"> </w:t>
            </w:r>
          </w:p>
        </w:tc>
        <w:tc>
          <w:tcPr>
            <w:tcW w:w="8275" w:type="dxa"/>
            <w:gridSpan w:val="4"/>
          </w:tcPr>
          <w:p w14:paraId="7FBA703F" w14:textId="77777777" w:rsidR="00B45714" w:rsidRDefault="00B45714" w:rsidP="00B45714">
            <w:pPr>
              <w:spacing w:line="480" w:lineRule="auto"/>
            </w:pPr>
          </w:p>
        </w:tc>
      </w:tr>
      <w:tr w:rsidR="00B45714" w14:paraId="65646A9E" w14:textId="77777777" w:rsidTr="00283663">
        <w:tc>
          <w:tcPr>
            <w:tcW w:w="1705" w:type="dxa"/>
            <w:tcBorders>
              <w:bottom w:val="single" w:sz="4" w:space="0" w:color="auto"/>
            </w:tcBorders>
          </w:tcPr>
          <w:p w14:paraId="422F6236" w14:textId="34C0EC55" w:rsidR="00B45714" w:rsidRPr="005163F2" w:rsidRDefault="00B45714" w:rsidP="00B45714">
            <w:pPr>
              <w:spacing w:line="480" w:lineRule="auto"/>
              <w:rPr>
                <w:b/>
                <w:bCs/>
              </w:rPr>
            </w:pPr>
            <w:r w:rsidRPr="00256316">
              <w:rPr>
                <w:b/>
                <w:bCs/>
              </w:rPr>
              <w:t>Contact Person</w:t>
            </w:r>
          </w:p>
        </w:tc>
        <w:tc>
          <w:tcPr>
            <w:tcW w:w="3263" w:type="dxa"/>
            <w:gridSpan w:val="2"/>
            <w:tcBorders>
              <w:bottom w:val="single" w:sz="4" w:space="0" w:color="auto"/>
            </w:tcBorders>
          </w:tcPr>
          <w:p w14:paraId="2ED77ECB" w14:textId="77777777" w:rsidR="00B45714" w:rsidRDefault="00B45714" w:rsidP="00B45714">
            <w:pPr>
              <w:spacing w:line="480" w:lineRule="auto"/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1C280F09" w14:textId="70F31DC2" w:rsidR="00B45714" w:rsidRPr="005163F2" w:rsidRDefault="00B45714" w:rsidP="00B45714">
            <w:pPr>
              <w:spacing w:line="480" w:lineRule="auto"/>
              <w:rPr>
                <w:b/>
                <w:bCs/>
              </w:rPr>
            </w:pPr>
            <w:r w:rsidRPr="00256316">
              <w:rPr>
                <w:b/>
                <w:bCs/>
              </w:rPr>
              <w:t>Phone Number</w:t>
            </w:r>
          </w:p>
        </w:tc>
        <w:tc>
          <w:tcPr>
            <w:tcW w:w="2402" w:type="dxa"/>
            <w:tcBorders>
              <w:bottom w:val="single" w:sz="4" w:space="0" w:color="auto"/>
            </w:tcBorders>
          </w:tcPr>
          <w:p w14:paraId="47D58537" w14:textId="77777777" w:rsidR="00B45714" w:rsidRDefault="00B45714" w:rsidP="00B45714">
            <w:pPr>
              <w:spacing w:line="480" w:lineRule="auto"/>
            </w:pPr>
          </w:p>
        </w:tc>
      </w:tr>
      <w:tr w:rsidR="00B45714" w14:paraId="529D7D2C" w14:textId="77777777" w:rsidTr="00283663">
        <w:tc>
          <w:tcPr>
            <w:tcW w:w="1705" w:type="dxa"/>
            <w:tcBorders>
              <w:bottom w:val="single" w:sz="4" w:space="0" w:color="auto"/>
            </w:tcBorders>
          </w:tcPr>
          <w:p w14:paraId="585B0EDB" w14:textId="77F44474" w:rsidR="00B45714" w:rsidRPr="005163F2" w:rsidRDefault="00B45714" w:rsidP="00B45714">
            <w:pPr>
              <w:spacing w:line="480" w:lineRule="auto"/>
              <w:rPr>
                <w:b/>
                <w:bCs/>
              </w:rPr>
            </w:pPr>
            <w:r w:rsidRPr="00256316">
              <w:rPr>
                <w:b/>
                <w:bCs/>
              </w:rPr>
              <w:t>Email Address</w:t>
            </w:r>
          </w:p>
        </w:tc>
        <w:tc>
          <w:tcPr>
            <w:tcW w:w="3263" w:type="dxa"/>
            <w:gridSpan w:val="2"/>
            <w:tcBorders>
              <w:bottom w:val="single" w:sz="4" w:space="0" w:color="auto"/>
            </w:tcBorders>
          </w:tcPr>
          <w:p w14:paraId="3855D122" w14:textId="77777777" w:rsidR="00B45714" w:rsidRDefault="00B45714" w:rsidP="00B45714">
            <w:pPr>
              <w:spacing w:line="480" w:lineRule="auto"/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4F44DC91" w14:textId="49444EA2" w:rsidR="00B45714" w:rsidRPr="005163F2" w:rsidRDefault="005163F2" w:rsidP="00B45714">
            <w:pPr>
              <w:spacing w:line="480" w:lineRule="auto"/>
              <w:rPr>
                <w:b/>
                <w:bCs/>
              </w:rPr>
            </w:pPr>
            <w:r w:rsidRPr="005163F2">
              <w:rPr>
                <w:b/>
                <w:bCs/>
              </w:rPr>
              <w:t>Validity of offer</w:t>
            </w:r>
            <w:r>
              <w:rPr>
                <w:b/>
                <w:bCs/>
              </w:rPr>
              <w:t xml:space="preserve"> (months)</w:t>
            </w:r>
          </w:p>
        </w:tc>
        <w:tc>
          <w:tcPr>
            <w:tcW w:w="2402" w:type="dxa"/>
            <w:tcBorders>
              <w:bottom w:val="single" w:sz="4" w:space="0" w:color="auto"/>
            </w:tcBorders>
          </w:tcPr>
          <w:p w14:paraId="1FCE9100" w14:textId="77777777" w:rsidR="00B45714" w:rsidRDefault="00B45714" w:rsidP="00B45714">
            <w:pPr>
              <w:spacing w:line="480" w:lineRule="auto"/>
            </w:pPr>
          </w:p>
        </w:tc>
      </w:tr>
      <w:tr w:rsidR="005163F2" w:rsidRPr="005163F2" w14:paraId="49D1F71E" w14:textId="77777777" w:rsidTr="00283663">
        <w:trPr>
          <w:trHeight w:val="458"/>
        </w:trPr>
        <w:tc>
          <w:tcPr>
            <w:tcW w:w="9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5EA1" w14:textId="72B291A1" w:rsidR="005163F2" w:rsidRPr="005163F2" w:rsidRDefault="005163F2" w:rsidP="00B45714">
            <w:pPr>
              <w:spacing w:line="480" w:lineRule="auto"/>
              <w:rPr>
                <w:b/>
                <w:bCs/>
                <w:u w:val="single"/>
              </w:rPr>
            </w:pPr>
          </w:p>
        </w:tc>
      </w:tr>
      <w:tr w:rsidR="00B45714" w14:paraId="6DA8B697" w14:textId="77777777" w:rsidTr="00283663">
        <w:tc>
          <w:tcPr>
            <w:tcW w:w="3798" w:type="dxa"/>
            <w:gridSpan w:val="2"/>
            <w:tcBorders>
              <w:top w:val="single" w:sz="4" w:space="0" w:color="auto"/>
            </w:tcBorders>
          </w:tcPr>
          <w:p w14:paraId="344C29D0" w14:textId="548F25A4" w:rsidR="00B45714" w:rsidRDefault="00B45714" w:rsidP="00B45714">
            <w:pPr>
              <w:spacing w:line="480" w:lineRule="auto"/>
            </w:pPr>
            <w:r w:rsidRPr="00256316">
              <w:rPr>
                <w:b/>
                <w:bCs/>
              </w:rPr>
              <w:t>Description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</w:tcBorders>
          </w:tcPr>
          <w:p w14:paraId="68ECD5F2" w14:textId="058B5BC9" w:rsidR="00B45714" w:rsidRDefault="00B45714" w:rsidP="00B45714">
            <w:pPr>
              <w:spacing w:line="480" w:lineRule="auto"/>
            </w:pPr>
            <w:r w:rsidRPr="00256316">
              <w:rPr>
                <w:b/>
                <w:bCs/>
              </w:rPr>
              <w:t>Unit</w:t>
            </w:r>
          </w:p>
        </w:tc>
        <w:tc>
          <w:tcPr>
            <w:tcW w:w="2402" w:type="dxa"/>
            <w:tcBorders>
              <w:top w:val="single" w:sz="4" w:space="0" w:color="auto"/>
            </w:tcBorders>
          </w:tcPr>
          <w:p w14:paraId="60D88665" w14:textId="343C196A" w:rsidR="00B45714" w:rsidRDefault="00B45714" w:rsidP="00B45714">
            <w:pPr>
              <w:spacing w:line="480" w:lineRule="auto"/>
            </w:pPr>
            <w:r w:rsidRPr="00256316">
              <w:rPr>
                <w:b/>
                <w:bCs/>
              </w:rPr>
              <w:t>Quoted Price</w:t>
            </w:r>
          </w:p>
        </w:tc>
      </w:tr>
      <w:tr w:rsidR="00B45714" w14:paraId="20D4FF5F" w14:textId="77777777" w:rsidTr="005163F2">
        <w:tc>
          <w:tcPr>
            <w:tcW w:w="3798" w:type="dxa"/>
            <w:gridSpan w:val="2"/>
          </w:tcPr>
          <w:p w14:paraId="48A6EEF4" w14:textId="3DDABDEC" w:rsidR="00B45714" w:rsidRPr="00256316" w:rsidRDefault="00B45714" w:rsidP="00B45714">
            <w:pPr>
              <w:spacing w:line="480" w:lineRule="auto"/>
              <w:rPr>
                <w:b/>
                <w:bCs/>
              </w:rPr>
            </w:pPr>
            <w:r w:rsidRPr="00256316">
              <w:t>Mobile Money Transfer Service Fee</w:t>
            </w:r>
          </w:p>
        </w:tc>
        <w:tc>
          <w:tcPr>
            <w:tcW w:w="3780" w:type="dxa"/>
            <w:gridSpan w:val="2"/>
          </w:tcPr>
          <w:p w14:paraId="4729DD1C" w14:textId="1AF4D441" w:rsidR="00B45714" w:rsidRPr="00256316" w:rsidRDefault="00B45714" w:rsidP="00B45714">
            <w:pPr>
              <w:spacing w:line="480" w:lineRule="auto"/>
              <w:rPr>
                <w:b/>
                <w:bCs/>
              </w:rPr>
            </w:pPr>
            <w:r w:rsidRPr="00256316">
              <w:t>Percentage (%) per transaction</w:t>
            </w:r>
          </w:p>
        </w:tc>
        <w:tc>
          <w:tcPr>
            <w:tcW w:w="2402" w:type="dxa"/>
          </w:tcPr>
          <w:p w14:paraId="2C14462D" w14:textId="60A435BD" w:rsidR="00B45714" w:rsidRPr="00256316" w:rsidRDefault="00B45714" w:rsidP="00B45714">
            <w:pPr>
              <w:spacing w:line="480" w:lineRule="auto"/>
              <w:rPr>
                <w:b/>
                <w:bCs/>
              </w:rPr>
            </w:pPr>
            <w:r w:rsidRPr="00256316">
              <w:t>______ %</w:t>
            </w:r>
          </w:p>
        </w:tc>
      </w:tr>
    </w:tbl>
    <w:p w14:paraId="5F316EF6" w14:textId="77777777" w:rsidR="00B45714" w:rsidRDefault="00B45714" w:rsidP="00256316">
      <w:pPr>
        <w:rPr>
          <w:b/>
          <w:bCs/>
        </w:rPr>
      </w:pPr>
    </w:p>
    <w:p w14:paraId="5926B61D" w14:textId="46B9C117" w:rsidR="00256316" w:rsidRPr="00256316" w:rsidRDefault="00256316" w:rsidP="00B45714">
      <w:pPr>
        <w:spacing w:after="0"/>
        <w:rPr>
          <w:b/>
          <w:bCs/>
        </w:rPr>
      </w:pPr>
      <w:r w:rsidRPr="00256316">
        <w:rPr>
          <w:b/>
          <w:bCs/>
        </w:rPr>
        <w:t>Notes</w:t>
      </w:r>
    </w:p>
    <w:p w14:paraId="3D256907" w14:textId="77777777" w:rsidR="00256316" w:rsidRPr="00256316" w:rsidRDefault="00256316" w:rsidP="00256316">
      <w:pPr>
        <w:numPr>
          <w:ilvl w:val="0"/>
          <w:numId w:val="5"/>
        </w:numPr>
        <w:spacing w:after="0"/>
      </w:pPr>
      <w:r w:rsidRPr="00256316">
        <w:t>The service fee should be quoted as a percentage (%) of the total amount transferred per transaction.</w:t>
      </w:r>
    </w:p>
    <w:p w14:paraId="5F3AF9FF" w14:textId="671D68D3" w:rsidR="00256316" w:rsidRPr="00256316" w:rsidRDefault="00256316" w:rsidP="00256316">
      <w:pPr>
        <w:numPr>
          <w:ilvl w:val="0"/>
          <w:numId w:val="5"/>
        </w:numPr>
        <w:spacing w:after="0"/>
      </w:pPr>
      <w:r w:rsidRPr="00256316">
        <w:t xml:space="preserve">The SIM card price should include SIM registration and activation </w:t>
      </w:r>
      <w:r w:rsidR="000C2058">
        <w:t>costs</w:t>
      </w:r>
      <w:r w:rsidRPr="00256316">
        <w:t>.</w:t>
      </w:r>
    </w:p>
    <w:p w14:paraId="74959E46" w14:textId="77777777" w:rsidR="00256316" w:rsidRPr="00256316" w:rsidRDefault="00256316" w:rsidP="00256316">
      <w:pPr>
        <w:numPr>
          <w:ilvl w:val="0"/>
          <w:numId w:val="5"/>
        </w:numPr>
        <w:spacing w:after="0"/>
      </w:pPr>
      <w:r w:rsidRPr="00256316">
        <w:t>All prices must be quoted in USD.</w:t>
      </w:r>
    </w:p>
    <w:p w14:paraId="2AE5E030" w14:textId="77777777" w:rsidR="00256316" w:rsidRPr="00256316" w:rsidRDefault="00256316" w:rsidP="00256316">
      <w:pPr>
        <w:numPr>
          <w:ilvl w:val="0"/>
          <w:numId w:val="5"/>
        </w:numPr>
        <w:spacing w:after="0"/>
      </w:pPr>
      <w:r w:rsidRPr="00256316">
        <w:t>Prices must include all applicable service charges and taxes.</w:t>
      </w:r>
    </w:p>
    <w:p w14:paraId="73E30667" w14:textId="77777777" w:rsidR="000C2058" w:rsidRDefault="000C2058" w:rsidP="000C2058">
      <w:pPr>
        <w:spacing w:after="0"/>
      </w:pPr>
    </w:p>
    <w:p w14:paraId="2149DC2D" w14:textId="77777777" w:rsidR="009C5FD4" w:rsidRDefault="009C5FD4" w:rsidP="000C2058">
      <w:pPr>
        <w:spacing w:after="0"/>
      </w:pPr>
    </w:p>
    <w:p w14:paraId="7C464078" w14:textId="77777777" w:rsidR="000C2058" w:rsidRDefault="000C2058" w:rsidP="000C2058">
      <w:pPr>
        <w:spacing w:after="0"/>
      </w:pPr>
    </w:p>
    <w:p w14:paraId="3CDCE2D6" w14:textId="71F33A53" w:rsidR="001B7440" w:rsidRPr="001B7440" w:rsidRDefault="001B7440" w:rsidP="006D739D">
      <w:pPr>
        <w:rPr>
          <w:b/>
          <w:bCs/>
        </w:rPr>
      </w:pPr>
      <w:r w:rsidRPr="001B7440">
        <w:rPr>
          <w:b/>
          <w:bCs/>
        </w:rPr>
        <w:t>On behalf of the supplier</w:t>
      </w:r>
    </w:p>
    <w:p w14:paraId="07E86439" w14:textId="5EE10EBF" w:rsidR="001B7440" w:rsidRDefault="001B7440" w:rsidP="001B7440">
      <w:proofErr w:type="gramStart"/>
      <w:r w:rsidRPr="001B7440">
        <w:t>Name:_</w:t>
      </w:r>
      <w:proofErr w:type="gramEnd"/>
      <w:r w:rsidRPr="001B7440">
        <w:t>______________________________________</w:t>
      </w:r>
    </w:p>
    <w:p w14:paraId="388AD7C8" w14:textId="38B93138" w:rsidR="004774F1" w:rsidRPr="001B7440" w:rsidRDefault="004774F1" w:rsidP="001B7440">
      <w:proofErr w:type="gramStart"/>
      <w:r>
        <w:t>Title:_</w:t>
      </w:r>
      <w:proofErr w:type="gramEnd"/>
      <w:r>
        <w:t>_______________</w:t>
      </w:r>
    </w:p>
    <w:p w14:paraId="38EA1875" w14:textId="05EE517C" w:rsidR="001B7440" w:rsidRPr="001B7440" w:rsidRDefault="001B7440" w:rsidP="000C2058">
      <w:pPr>
        <w:spacing w:after="0"/>
      </w:pPr>
      <w:proofErr w:type="gramStart"/>
      <w:r w:rsidRPr="001B7440">
        <w:t>Signature:_</w:t>
      </w:r>
      <w:proofErr w:type="gramEnd"/>
      <w:r w:rsidRPr="001B7440">
        <w:t>_______________</w:t>
      </w:r>
      <w:r w:rsidRPr="001B7440">
        <w:tab/>
      </w:r>
      <w:r w:rsidRPr="001B7440">
        <w:tab/>
        <w:t>Stamp:</w:t>
      </w:r>
    </w:p>
    <w:p w14:paraId="6F66BD11" w14:textId="0055F3BE" w:rsidR="001B7440" w:rsidRPr="001B7440" w:rsidRDefault="001B7440" w:rsidP="000C2058">
      <w:pPr>
        <w:spacing w:after="0"/>
      </w:pPr>
      <w:proofErr w:type="gramStart"/>
      <w:r w:rsidRPr="001B7440">
        <w:t>Date:_</w:t>
      </w:r>
      <w:proofErr w:type="gramEnd"/>
      <w:r w:rsidRPr="001B7440">
        <w:t>_______________</w:t>
      </w:r>
    </w:p>
    <w:sectPr w:rsidR="001B7440" w:rsidRPr="001B7440" w:rsidSect="005163F2">
      <w:footerReference w:type="default" r:id="rId12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81FBA" w14:textId="77777777" w:rsidR="00AF470F" w:rsidRDefault="00AF470F" w:rsidP="00B45714">
      <w:pPr>
        <w:spacing w:after="0" w:line="240" w:lineRule="auto"/>
      </w:pPr>
      <w:r>
        <w:separator/>
      </w:r>
    </w:p>
  </w:endnote>
  <w:endnote w:type="continuationSeparator" w:id="0">
    <w:p w14:paraId="3D29AF07" w14:textId="77777777" w:rsidR="00AF470F" w:rsidRDefault="00AF470F" w:rsidP="00B45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425958126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5BFD58C" w14:textId="2B959726" w:rsidR="00B45714" w:rsidRPr="00B45714" w:rsidRDefault="00B45714">
            <w:pPr>
              <w:pStyle w:val="Footer"/>
              <w:jc w:val="right"/>
              <w:rPr>
                <w:sz w:val="18"/>
                <w:szCs w:val="18"/>
              </w:rPr>
            </w:pPr>
            <w:r w:rsidRPr="00B45714">
              <w:rPr>
                <w:sz w:val="18"/>
                <w:szCs w:val="18"/>
              </w:rPr>
              <w:t>Invitation to Bid | Ref: YP-SOM/2026/01</w:t>
            </w:r>
            <w:r w:rsidRPr="00B45714">
              <w:rPr>
                <w:sz w:val="18"/>
                <w:szCs w:val="18"/>
              </w:rPr>
              <w:tab/>
            </w:r>
            <w:r w:rsidRPr="00B45714">
              <w:rPr>
                <w:sz w:val="18"/>
                <w:szCs w:val="18"/>
              </w:rPr>
              <w:tab/>
              <w:t xml:space="preserve">Page </w:t>
            </w:r>
            <w:r w:rsidRPr="00B45714">
              <w:rPr>
                <w:b/>
                <w:bCs/>
                <w:sz w:val="18"/>
                <w:szCs w:val="18"/>
              </w:rPr>
              <w:fldChar w:fldCharType="begin"/>
            </w:r>
            <w:r w:rsidRPr="00B45714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B45714">
              <w:rPr>
                <w:b/>
                <w:bCs/>
                <w:sz w:val="18"/>
                <w:szCs w:val="18"/>
              </w:rPr>
              <w:fldChar w:fldCharType="separate"/>
            </w:r>
            <w:r w:rsidRPr="00B45714">
              <w:rPr>
                <w:b/>
                <w:bCs/>
                <w:noProof/>
                <w:sz w:val="18"/>
                <w:szCs w:val="18"/>
              </w:rPr>
              <w:t>2</w:t>
            </w:r>
            <w:r w:rsidRPr="00B45714">
              <w:rPr>
                <w:b/>
                <w:bCs/>
                <w:sz w:val="18"/>
                <w:szCs w:val="18"/>
              </w:rPr>
              <w:fldChar w:fldCharType="end"/>
            </w:r>
            <w:r w:rsidRPr="00B45714">
              <w:rPr>
                <w:sz w:val="18"/>
                <w:szCs w:val="18"/>
              </w:rPr>
              <w:t xml:space="preserve"> of </w:t>
            </w:r>
            <w:r w:rsidRPr="00B45714">
              <w:rPr>
                <w:b/>
                <w:bCs/>
                <w:sz w:val="18"/>
                <w:szCs w:val="18"/>
              </w:rPr>
              <w:fldChar w:fldCharType="begin"/>
            </w:r>
            <w:r w:rsidRPr="00B45714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B45714">
              <w:rPr>
                <w:b/>
                <w:bCs/>
                <w:sz w:val="18"/>
                <w:szCs w:val="18"/>
              </w:rPr>
              <w:fldChar w:fldCharType="separate"/>
            </w:r>
            <w:r w:rsidRPr="00B45714">
              <w:rPr>
                <w:b/>
                <w:bCs/>
                <w:noProof/>
                <w:sz w:val="18"/>
                <w:szCs w:val="18"/>
              </w:rPr>
              <w:t>2</w:t>
            </w:r>
            <w:r w:rsidRPr="00B45714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AA2729B" w14:textId="77777777" w:rsidR="00B45714" w:rsidRPr="00B45714" w:rsidRDefault="00B45714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DDC2B" w14:textId="77777777" w:rsidR="00AF470F" w:rsidRDefault="00AF470F" w:rsidP="00B45714">
      <w:pPr>
        <w:spacing w:after="0" w:line="240" w:lineRule="auto"/>
      </w:pPr>
      <w:r>
        <w:separator/>
      </w:r>
    </w:p>
  </w:footnote>
  <w:footnote w:type="continuationSeparator" w:id="0">
    <w:p w14:paraId="48C567E2" w14:textId="77777777" w:rsidR="00AF470F" w:rsidRDefault="00AF470F" w:rsidP="00B45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7386D"/>
    <w:multiLevelType w:val="hybridMultilevel"/>
    <w:tmpl w:val="F3BC15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D66B48"/>
    <w:multiLevelType w:val="hybridMultilevel"/>
    <w:tmpl w:val="F1608B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7B16AA"/>
    <w:multiLevelType w:val="hybridMultilevel"/>
    <w:tmpl w:val="728006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703B23"/>
    <w:multiLevelType w:val="multilevel"/>
    <w:tmpl w:val="CE9A6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901CE8"/>
    <w:multiLevelType w:val="hybridMultilevel"/>
    <w:tmpl w:val="2CCABF7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C22DA1"/>
    <w:multiLevelType w:val="multilevel"/>
    <w:tmpl w:val="806E8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C579B7"/>
    <w:multiLevelType w:val="hybridMultilevel"/>
    <w:tmpl w:val="432C4A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6B4552"/>
    <w:multiLevelType w:val="hybridMultilevel"/>
    <w:tmpl w:val="391AFE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BD3030"/>
    <w:multiLevelType w:val="multilevel"/>
    <w:tmpl w:val="C9541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D607BB"/>
    <w:multiLevelType w:val="multilevel"/>
    <w:tmpl w:val="8FD44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7212CB"/>
    <w:multiLevelType w:val="multilevel"/>
    <w:tmpl w:val="7638A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BA00AA"/>
    <w:multiLevelType w:val="multilevel"/>
    <w:tmpl w:val="3474C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A87F20"/>
    <w:multiLevelType w:val="hybridMultilevel"/>
    <w:tmpl w:val="67824C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45A1B5A"/>
    <w:multiLevelType w:val="hybridMultilevel"/>
    <w:tmpl w:val="26ACDF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7AD1DE5"/>
    <w:multiLevelType w:val="hybridMultilevel"/>
    <w:tmpl w:val="13028A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8013417"/>
    <w:multiLevelType w:val="hybridMultilevel"/>
    <w:tmpl w:val="40D491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1260C26"/>
    <w:multiLevelType w:val="multilevel"/>
    <w:tmpl w:val="66483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FF5816"/>
    <w:multiLevelType w:val="multilevel"/>
    <w:tmpl w:val="31120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2B7287"/>
    <w:multiLevelType w:val="hybridMultilevel"/>
    <w:tmpl w:val="0AA6D2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41119678">
    <w:abstractNumId w:val="10"/>
  </w:num>
  <w:num w:numId="2" w16cid:durableId="826628231">
    <w:abstractNumId w:val="11"/>
  </w:num>
  <w:num w:numId="3" w16cid:durableId="1940794117">
    <w:abstractNumId w:val="16"/>
  </w:num>
  <w:num w:numId="4" w16cid:durableId="1003315561">
    <w:abstractNumId w:val="5"/>
  </w:num>
  <w:num w:numId="5" w16cid:durableId="1874420065">
    <w:abstractNumId w:val="8"/>
  </w:num>
  <w:num w:numId="6" w16cid:durableId="1876769935">
    <w:abstractNumId w:val="3"/>
  </w:num>
  <w:num w:numId="7" w16cid:durableId="2102026637">
    <w:abstractNumId w:val="17"/>
  </w:num>
  <w:num w:numId="8" w16cid:durableId="405609947">
    <w:abstractNumId w:val="4"/>
  </w:num>
  <w:num w:numId="9" w16cid:durableId="591815090">
    <w:abstractNumId w:val="7"/>
  </w:num>
  <w:num w:numId="10" w16cid:durableId="1010569194">
    <w:abstractNumId w:val="9"/>
  </w:num>
  <w:num w:numId="11" w16cid:durableId="834687857">
    <w:abstractNumId w:val="13"/>
  </w:num>
  <w:num w:numId="12" w16cid:durableId="1746029366">
    <w:abstractNumId w:val="1"/>
  </w:num>
  <w:num w:numId="13" w16cid:durableId="283969285">
    <w:abstractNumId w:val="2"/>
  </w:num>
  <w:num w:numId="14" w16cid:durableId="1310212200">
    <w:abstractNumId w:val="0"/>
  </w:num>
  <w:num w:numId="15" w16cid:durableId="2061513069">
    <w:abstractNumId w:val="15"/>
  </w:num>
  <w:num w:numId="16" w16cid:durableId="237062287">
    <w:abstractNumId w:val="12"/>
  </w:num>
  <w:num w:numId="17" w16cid:durableId="1128158100">
    <w:abstractNumId w:val="6"/>
  </w:num>
  <w:num w:numId="18" w16cid:durableId="1145584459">
    <w:abstractNumId w:val="14"/>
  </w:num>
  <w:num w:numId="19" w16cid:durableId="109602601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316"/>
    <w:rsid w:val="000C2058"/>
    <w:rsid w:val="000E115F"/>
    <w:rsid w:val="0010679A"/>
    <w:rsid w:val="001620E6"/>
    <w:rsid w:val="001B7440"/>
    <w:rsid w:val="002365D9"/>
    <w:rsid w:val="00244D39"/>
    <w:rsid w:val="00256316"/>
    <w:rsid w:val="00283663"/>
    <w:rsid w:val="003D7A07"/>
    <w:rsid w:val="004774F1"/>
    <w:rsid w:val="005163F2"/>
    <w:rsid w:val="005A6A43"/>
    <w:rsid w:val="00676B9C"/>
    <w:rsid w:val="006D739D"/>
    <w:rsid w:val="0075262D"/>
    <w:rsid w:val="0081540F"/>
    <w:rsid w:val="008D4589"/>
    <w:rsid w:val="008E4198"/>
    <w:rsid w:val="009B6B11"/>
    <w:rsid w:val="009C5604"/>
    <w:rsid w:val="009C5FD4"/>
    <w:rsid w:val="00A742C8"/>
    <w:rsid w:val="00A81924"/>
    <w:rsid w:val="00AE3E03"/>
    <w:rsid w:val="00AF470F"/>
    <w:rsid w:val="00B17332"/>
    <w:rsid w:val="00B45714"/>
    <w:rsid w:val="00B6717E"/>
    <w:rsid w:val="00CB2686"/>
    <w:rsid w:val="00D11CB8"/>
    <w:rsid w:val="00DC553B"/>
    <w:rsid w:val="00EE3531"/>
    <w:rsid w:val="00F3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81D51"/>
  <w15:chartTrackingRefBased/>
  <w15:docId w15:val="{90014011-DC72-464E-9E70-3F9BA797E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E03"/>
  </w:style>
  <w:style w:type="paragraph" w:styleId="Heading1">
    <w:name w:val="heading 1"/>
    <w:basedOn w:val="Normal"/>
    <w:next w:val="Normal"/>
    <w:link w:val="Heading1Char"/>
    <w:uiPriority w:val="9"/>
    <w:qFormat/>
    <w:rsid w:val="002563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63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631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63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631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63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63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63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63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631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631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631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6316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6316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63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63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63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63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63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63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63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63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63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63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63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631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631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6316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6316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563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6316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25631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59"/>
    <w:rsid w:val="00256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57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714"/>
  </w:style>
  <w:style w:type="paragraph" w:styleId="Footer">
    <w:name w:val="footer"/>
    <w:basedOn w:val="Normal"/>
    <w:link w:val="FooterChar"/>
    <w:uiPriority w:val="99"/>
    <w:unhideWhenUsed/>
    <w:rsid w:val="00B457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@ypeerso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ocurement@ypeerso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rocurement@ypeerso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office.com/r/ngNZJCVi8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1336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Abdikadir Hassan</dc:creator>
  <cp:keywords/>
  <dc:description/>
  <cp:lastModifiedBy>Information Desk</cp:lastModifiedBy>
  <cp:revision>3</cp:revision>
  <dcterms:created xsi:type="dcterms:W3CDTF">2026-04-01T10:44:00Z</dcterms:created>
  <dcterms:modified xsi:type="dcterms:W3CDTF">2026-04-01T10:46:00Z</dcterms:modified>
</cp:coreProperties>
</file>